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5889152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023009">
          <w:type w:val="continuous"/>
          <w:pgSz w:w="11906" w:h="16838" w:code="9"/>
          <w:pgMar w:top="1701" w:right="1418" w:bottom="1701" w:left="1701" w:header="1701" w:footer="0" w:gutter="0"/>
          <w:cols w:space="708"/>
          <w:titlePg/>
          <w:docGrid w:linePitch="360"/>
        </w:sectPr>
      </w:pPr>
    </w:p>
    <w:p w14:paraId="2E667253" w14:textId="2F91EA7D" w:rsidR="00E978D0" w:rsidRPr="00665323" w:rsidRDefault="00C7303E" w:rsidP="00665323">
      <w:pPr>
        <w:pStyle w:val="CETTitle"/>
      </w:pPr>
      <w:bookmarkStart w:id="1" w:name="_Hlk158883690"/>
      <w:r w:rsidRPr="00C7303E">
        <w:t xml:space="preserve">Insights </w:t>
      </w:r>
      <w:r w:rsidR="005A2C47">
        <w:t>i</w:t>
      </w:r>
      <w:r w:rsidR="005A2C47" w:rsidRPr="00C7303E">
        <w:t xml:space="preserve">nto the Vulnerability </w:t>
      </w:r>
      <w:r w:rsidR="005A2C47">
        <w:t>o</w:t>
      </w:r>
      <w:r w:rsidR="005A2C47" w:rsidRPr="00C7303E">
        <w:t>f Industr</w:t>
      </w:r>
      <w:r w:rsidR="004B7628">
        <w:t>ial Infrastructure</w:t>
      </w:r>
      <w:r w:rsidR="005A2C47" w:rsidRPr="00C7303E">
        <w:t xml:space="preserve"> </w:t>
      </w:r>
      <w:r w:rsidR="00C877AE">
        <w:t>a</w:t>
      </w:r>
      <w:r w:rsidR="005A2C47" w:rsidRPr="00C7303E">
        <w:t xml:space="preserve">gainst Lightning Strikes Applied </w:t>
      </w:r>
      <w:r w:rsidR="005A2C47">
        <w:t>t</w:t>
      </w:r>
      <w:r w:rsidR="005A2C47" w:rsidRPr="00C7303E">
        <w:t xml:space="preserve">o </w:t>
      </w:r>
      <w:r w:rsidR="004E7E8B">
        <w:t>t</w:t>
      </w:r>
      <w:r w:rsidR="005A2C47" w:rsidRPr="00C7303E">
        <w:t xml:space="preserve">he </w:t>
      </w:r>
      <w:r w:rsidRPr="00C7303E">
        <w:t xml:space="preserve">Italian </w:t>
      </w:r>
      <w:r w:rsidR="005A2C47" w:rsidRPr="00C7303E">
        <w:t>Context</w:t>
      </w:r>
      <w:bookmarkEnd w:id="1"/>
      <w:r w:rsidR="005A2C47" w:rsidRPr="00C7303E">
        <w:t>.</w:t>
      </w:r>
    </w:p>
    <w:p w14:paraId="0488FED2" w14:textId="7F82C986" w:rsidR="00B57E6F" w:rsidRPr="004D5FE4" w:rsidRDefault="00930E43" w:rsidP="001306B1">
      <w:pPr>
        <w:pStyle w:val="CETAuthors"/>
        <w:rPr>
          <w:lang w:val="it-IT"/>
        </w:rPr>
      </w:pPr>
      <w:r w:rsidRPr="001702CC">
        <w:rPr>
          <w:lang w:val="it-IT"/>
        </w:rPr>
        <w:t>David J. Castro Rodriguez</w:t>
      </w:r>
      <w:r w:rsidR="00264786" w:rsidRPr="004D5FE4">
        <w:rPr>
          <w:lang w:val="it-IT"/>
        </w:rPr>
        <w:t>*</w:t>
      </w:r>
      <w:r w:rsidR="00B57E6F" w:rsidRPr="004D5FE4">
        <w:rPr>
          <w:lang w:val="it-IT"/>
        </w:rPr>
        <w:t xml:space="preserve">, </w:t>
      </w:r>
      <w:r w:rsidR="002A01F6" w:rsidRPr="004D5FE4">
        <w:rPr>
          <w:lang w:val="it-IT"/>
        </w:rPr>
        <w:t>Morena Vitale</w:t>
      </w:r>
      <w:r w:rsidR="00B57E6F" w:rsidRPr="004D5FE4">
        <w:rPr>
          <w:lang w:val="it-IT"/>
        </w:rPr>
        <w:t>,</w:t>
      </w:r>
      <w:r w:rsidR="004D5FE4" w:rsidRPr="004D5FE4">
        <w:rPr>
          <w:lang w:val="it-IT"/>
        </w:rPr>
        <w:t xml:space="preserve"> Gabriele Baldissone, </w:t>
      </w:r>
      <w:r w:rsidR="00BD21C9">
        <w:rPr>
          <w:lang w:val="it-IT"/>
        </w:rPr>
        <w:t xml:space="preserve">       </w:t>
      </w:r>
      <w:r w:rsidR="00530032">
        <w:rPr>
          <w:lang w:val="it-IT"/>
        </w:rPr>
        <w:t xml:space="preserve">       </w:t>
      </w:r>
      <w:r w:rsidR="00BD21C9">
        <w:rPr>
          <w:lang w:val="it-IT"/>
        </w:rPr>
        <w:t xml:space="preserve">      </w:t>
      </w:r>
      <w:r w:rsidR="001702CC">
        <w:rPr>
          <w:lang w:val="it-IT"/>
        </w:rPr>
        <w:t xml:space="preserve"> </w:t>
      </w:r>
      <w:r w:rsidR="004D5FE4" w:rsidRPr="004D5FE4">
        <w:rPr>
          <w:lang w:val="it-IT"/>
        </w:rPr>
        <w:t>Antonello A. Barresi, Micaela Demichela.</w:t>
      </w:r>
    </w:p>
    <w:p w14:paraId="6B2D21B3" w14:textId="32064E1B" w:rsidR="00B57E6F" w:rsidRPr="00025C19" w:rsidRDefault="00BD21C9" w:rsidP="00B57E6F">
      <w:pPr>
        <w:pStyle w:val="CETAddress"/>
      </w:pPr>
      <w:r w:rsidRPr="00F91425">
        <w:rPr>
          <w:lang w:val="en-US"/>
        </w:rPr>
        <w:t>Department of Applied Science and Technology, Politecnico di Torino</w:t>
      </w:r>
      <w:r>
        <w:rPr>
          <w:lang w:val="en-US"/>
        </w:rPr>
        <w:t xml:space="preserve"> </w:t>
      </w:r>
      <w:r w:rsidRPr="00AE5F63">
        <w:rPr>
          <w:lang w:val="en-US"/>
        </w:rPr>
        <w:t>Corso Duca Degli Abruzzi 24, 10129 Torino, Italy</w:t>
      </w:r>
    </w:p>
    <w:p w14:paraId="73F1267A" w14:textId="127CC4BB" w:rsidR="00B57E6F" w:rsidRPr="00B57B36" w:rsidRDefault="00DF7019" w:rsidP="00B57E6F">
      <w:pPr>
        <w:pStyle w:val="CETemail"/>
      </w:pPr>
      <w:r w:rsidRPr="00BD21C9">
        <w:t>david.castro@polito.it</w:t>
      </w:r>
      <w:r>
        <w:t xml:space="preserve"> </w:t>
      </w:r>
    </w:p>
    <w:p w14:paraId="6893AF25" w14:textId="4ED3BD51" w:rsidR="00600535" w:rsidRDefault="00222D78" w:rsidP="006C325E">
      <w:pPr>
        <w:pStyle w:val="CETBodytext"/>
        <w:rPr>
          <w:lang w:val="en-GB"/>
        </w:rPr>
      </w:pPr>
      <w:r w:rsidRPr="00222D78">
        <w:rPr>
          <w:lang w:val="en-GB"/>
        </w:rPr>
        <w:t xml:space="preserve">This study delves into the impactful realm of lightning strikes, a meteorological phenomenon that poses substantial risks to the process industry by potentially triggering technological disruptions. This paper focuses on the territorial aspects linked to the lightning-triggered NaTech events, using the Italian geographical context as a case study. </w:t>
      </w:r>
      <w:r w:rsidR="006C325E" w:rsidRPr="006C325E">
        <w:rPr>
          <w:lang w:val="en-GB"/>
        </w:rPr>
        <w:t xml:space="preserve">The </w:t>
      </w:r>
      <w:r w:rsidR="006C325E">
        <w:rPr>
          <w:lang w:val="en-GB"/>
        </w:rPr>
        <w:t>novel</w:t>
      </w:r>
      <w:r w:rsidR="006C325E" w:rsidRPr="006C325E">
        <w:rPr>
          <w:lang w:val="en-GB"/>
        </w:rPr>
        <w:t xml:space="preserve"> insights gained from a historical analysis of NaTech events caused by lightning in the process industry allowed for quantifying frequencies and conditional probabilities governing final scenarios. These insights also shed light on associated infrastructural details, including industrial equipment and </w:t>
      </w:r>
      <w:r w:rsidR="00495E8A">
        <w:rPr>
          <w:lang w:val="en-GB"/>
        </w:rPr>
        <w:t xml:space="preserve">the </w:t>
      </w:r>
      <w:r w:rsidR="006C325E" w:rsidRPr="006C325E">
        <w:rPr>
          <w:lang w:val="en-GB"/>
        </w:rPr>
        <w:t>macro-sectors involved.</w:t>
      </w:r>
      <w:r w:rsidRPr="00222D78">
        <w:rPr>
          <w:lang w:val="en-GB"/>
        </w:rPr>
        <w:t xml:space="preserve"> These data were linked with the territorial distribution of the major hazard establishments in Italy and further associated with the ground lightning density in specific territories. Focusing on different locations of hypothetical plants, the differences in their susceptibility to suffering lightning-triggered Natech disasters were </w:t>
      </w:r>
      <w:r w:rsidR="001A3B2C">
        <w:rPr>
          <w:lang w:val="en-GB"/>
        </w:rPr>
        <w:t>compared</w:t>
      </w:r>
      <w:r w:rsidRPr="00222D78">
        <w:rPr>
          <w:lang w:val="en-GB"/>
        </w:rPr>
        <w:t xml:space="preserve">. The findings </w:t>
      </w:r>
      <w:r w:rsidR="00650B87">
        <w:rPr>
          <w:lang w:val="en-GB"/>
        </w:rPr>
        <w:t xml:space="preserve">and some conceptual ideas </w:t>
      </w:r>
      <w:r w:rsidRPr="00222D78">
        <w:rPr>
          <w:lang w:val="en-GB"/>
        </w:rPr>
        <w:t xml:space="preserve">of this research </w:t>
      </w:r>
      <w:r w:rsidR="00B8485B">
        <w:rPr>
          <w:lang w:val="en-GB"/>
        </w:rPr>
        <w:t xml:space="preserve">have </w:t>
      </w:r>
      <w:r w:rsidR="00BB054E">
        <w:rPr>
          <w:lang w:val="en-GB"/>
        </w:rPr>
        <w:t>implications</w:t>
      </w:r>
      <w:r w:rsidRPr="00222D78">
        <w:rPr>
          <w:lang w:val="en-GB"/>
        </w:rPr>
        <w:t xml:space="preserve"> for </w:t>
      </w:r>
      <w:r w:rsidR="00BB054E">
        <w:rPr>
          <w:lang w:val="en-GB"/>
        </w:rPr>
        <w:t>stakeholders and technicians</w:t>
      </w:r>
      <w:r w:rsidRPr="00222D78">
        <w:rPr>
          <w:lang w:val="en-GB"/>
        </w:rPr>
        <w:t xml:space="preserve"> engaged in risk assessment</w:t>
      </w:r>
      <w:r w:rsidR="00667325">
        <w:rPr>
          <w:lang w:val="en-GB"/>
        </w:rPr>
        <w:t xml:space="preserve">. </w:t>
      </w:r>
      <w:r w:rsidR="00EF573A" w:rsidRPr="00EF573A">
        <w:rPr>
          <w:lang w:val="en-GB"/>
        </w:rPr>
        <w:t>This research specifically contributes to increasing vulnerability awareness against lightning strikes, not only from a functional deterministic point of view but also from a territorial comprehensive perspective.</w:t>
      </w:r>
    </w:p>
    <w:p w14:paraId="6474660B" w14:textId="77777777" w:rsidR="009D4477" w:rsidRDefault="009D4477" w:rsidP="00600535">
      <w:pPr>
        <w:pStyle w:val="CETBodytext"/>
        <w:rPr>
          <w:lang w:val="en-GB"/>
        </w:rPr>
      </w:pPr>
    </w:p>
    <w:p w14:paraId="04993605" w14:textId="13D02DFD" w:rsidR="009D4477" w:rsidRDefault="009D4477" w:rsidP="00600535">
      <w:pPr>
        <w:pStyle w:val="CETBodytext"/>
        <w:rPr>
          <w:lang w:val="en-GB"/>
        </w:rPr>
      </w:pPr>
      <w:r w:rsidRPr="009D4477">
        <w:rPr>
          <w:b/>
          <w:bCs/>
          <w:lang w:val="en-GB"/>
        </w:rPr>
        <w:t>Keywords:</w:t>
      </w:r>
      <w:r w:rsidRPr="009D4477">
        <w:rPr>
          <w:lang w:val="en-GB"/>
        </w:rPr>
        <w:t xml:space="preserve"> </w:t>
      </w:r>
      <w:r w:rsidR="00184B3A">
        <w:rPr>
          <w:lang w:val="en-GB"/>
        </w:rPr>
        <w:t>G</w:t>
      </w:r>
      <w:r w:rsidRPr="009D4477">
        <w:rPr>
          <w:lang w:val="en-GB"/>
        </w:rPr>
        <w:t>round lightning density, NaTech</w:t>
      </w:r>
      <w:r w:rsidR="00184B3A">
        <w:rPr>
          <w:lang w:val="en-GB"/>
        </w:rPr>
        <w:t xml:space="preserve">, </w:t>
      </w:r>
      <w:r w:rsidRPr="009D4477">
        <w:rPr>
          <w:lang w:val="en-GB"/>
        </w:rPr>
        <w:t>lightning, major hazard establishments, territorial vulnerability.</w:t>
      </w:r>
    </w:p>
    <w:p w14:paraId="476B2F2E" w14:textId="77777777" w:rsidR="00600535" w:rsidRPr="00B57B36" w:rsidRDefault="00600535" w:rsidP="00600535">
      <w:pPr>
        <w:pStyle w:val="CETHeading1"/>
        <w:rPr>
          <w:lang w:val="en-GB"/>
        </w:rPr>
      </w:pPr>
      <w:r w:rsidRPr="00B57B36">
        <w:rPr>
          <w:lang w:val="en-GB"/>
        </w:rPr>
        <w:t>Introduction</w:t>
      </w:r>
    </w:p>
    <w:p w14:paraId="1DB636B4" w14:textId="28B9C7D7" w:rsidR="000522FA" w:rsidRDefault="00F11E9B" w:rsidP="00683B7F">
      <w:pPr>
        <w:pStyle w:val="Nessunaspaziatura"/>
        <w:rPr>
          <w:bCs/>
        </w:rPr>
      </w:pPr>
      <w:r w:rsidRPr="00F11E9B">
        <w:t>The industrial sector is emphasized as having a greater likelihood of incurring significant losses caused by natural disasters (European Commission, 2018). Consequently, the European Commission has issued Directive (EU) 2022/2557 (European Commission, 2022) to increase the ability of critical entities to withstand disruptions, including natural hazards, and to enhance resilience. This directive explicitly states that risk assessment must be integrated with the sector-specific regulations of the European Union, referring explicitly to the 2012/18/EU Seveso III Directive (European Commission, 2012). In simple words, it means that at least some of the major hazard industries (MHIs) are considered critical entities. Moreover, MHIs are controlled because they pose a significant risk due to their potential to cause technological scenarios because of internal failures. Furthermore, these process plants are susceptible to disruptions caused by the natural hazards inherent to their locations, which may trigger technological accidents involving the release of hazardous substances (Krausmann et al., 2017). These events, which are generally known as NaTech, may cause catastrophic consequences for the surrounding population, the environment, the industrial infrastructure, and the overall territorial dynamics.</w:t>
      </w:r>
    </w:p>
    <w:p w14:paraId="32A5A043" w14:textId="5C0B3DAC" w:rsidR="00DE3937" w:rsidRDefault="00633562" w:rsidP="00445BE9">
      <w:pPr>
        <w:pStyle w:val="CETBodytext"/>
        <w:rPr>
          <w:bCs/>
        </w:rPr>
      </w:pPr>
      <w:r w:rsidRPr="00633562">
        <w:rPr>
          <w:bCs/>
        </w:rPr>
        <w:t xml:space="preserve">While NaTech events in the process industry are causing great concern in the academic community (Krausmann and Necci, 2021; Ricci et al., 2021; Suarez-Paba and Cruz, 2022), accurately predicting the vulnerabilities of critical industrial infrastructures remains challenging. Historical record analysis has been demonstrated to be essential for assessing the probability of damage to industrial infrastructure impacted by diverse natural hazards (Cozzani et al., 2010; Krausmann et al., 2011; Ricci et al., 2023). However, the intensity, frequency, and extension of the impacts of natural disasters are rarely registered in industrial databases where the data are recorded (Reniers et al., 2018). Therefore, the influence of the previous factors in NaTech scenarios is difficult to quantify or hypothesize in association with the heterogeneous attributes connected with MHIs, such as </w:t>
      </w:r>
      <w:r w:rsidRPr="00633562">
        <w:rPr>
          <w:bCs/>
        </w:rPr>
        <w:lastRenderedPageBreak/>
        <w:t>production technologies, kinds of plants, vulnerable equipment, hazardous substances detained, and different geographical realities. Given the connection between the latter and the industrial susceptibilities against specific natural hazards in such territories, vulnerability assessment requires not only the calculation of probabilities of functional attributes based on historical records but also its territorial contextualization.</w:t>
      </w:r>
      <w:r w:rsidR="00B52379">
        <w:rPr>
          <w:bCs/>
        </w:rPr>
        <w:t xml:space="preserve"> </w:t>
      </w:r>
      <w:bookmarkStart w:id="2" w:name="_Hlk163393395"/>
    </w:p>
    <w:bookmarkEnd w:id="2"/>
    <w:p w14:paraId="46EE363B" w14:textId="4615B871" w:rsidR="00165B14" w:rsidRDefault="002706C6" w:rsidP="00445BE9">
      <w:pPr>
        <w:pStyle w:val="CETBodytext"/>
      </w:pPr>
      <w:r w:rsidRPr="002706C6">
        <w:rPr>
          <w:bCs/>
        </w:rPr>
        <w:t>Lightning strikes, for example, are prominent meteorological events linked to climate change, and their frequency and severity are expected to increase. A comprehensive study of 9100 records about NaTech events in the process industry found that lightning strikes ranked fourth among the twelve natural factors analyzed, accounting for 11.3% of the total records. Specifically, lightning-triggered NaTech events present a critical trade-off in the process industry, based not only on their frequency of occurrence but also on their catastrophic consequences (Ricci et al., 2021). They can lead to severe off-site loss of containment of dangerous substances, weighing between 100 kg and 1000 kg 35% of the time and more than 1000 kg 38%, respectively (Renni et al., 2010). Moreover, the ignition probability of flammable substances after lightning strikes (82%) (Krausmann et al., 2011) is higher than that reported for conventional scenarios. Furthermore, fires caused by lightning strikes in tanks storing flammable substances are often initiators of the domino effect (Misuri et al., 2020), since lightning is known to have the power to affect nearby equipment in a chain reaction (Necci et al., 2014).</w:t>
      </w:r>
    </w:p>
    <w:p w14:paraId="1739A038" w14:textId="556EF9BC" w:rsidR="0034643C" w:rsidRPr="000522FA" w:rsidRDefault="00A07A84" w:rsidP="00445BE9">
      <w:pPr>
        <w:pStyle w:val="CETBodytext"/>
      </w:pPr>
      <w:r w:rsidRPr="00A07A84">
        <w:t>Even though lightning is a well-known threat, industry protective systems and preventive measures may not always be contextualized to the territorial characteristics connecting meteorological features with the establishment location. For instance, the density of lightning on the ground (lightning/year·km</w:t>
      </w:r>
      <w:r w:rsidRPr="001306B1">
        <w:rPr>
          <w:vertAlign w:val="superscript"/>
        </w:rPr>
        <w:t>2</w:t>
      </w:r>
      <w:r w:rsidRPr="00A07A84">
        <w:t>) is not homogenous known data, which may have a diverse influence across the different locations. Hence, given the elements discussed before, the goal of this research is to contextualize the functional vulnerabilities obtained from a previous lightning-triggered historical analysis conducted in the process industry into the territorial characteristics of the plant location, aiming to strengthen vulnerability awareness against this multi-risk phenomenon. The Italian territorial distribution for MHIs (Seveso establishments) was used as a case study.</w:t>
      </w:r>
    </w:p>
    <w:p w14:paraId="5741900F" w14:textId="64E297DE" w:rsidR="00453E24" w:rsidRDefault="00D000AA" w:rsidP="00453E24">
      <w:pPr>
        <w:pStyle w:val="CETHeading1"/>
      </w:pPr>
      <w:r>
        <w:t>Materials and Methods</w:t>
      </w:r>
    </w:p>
    <w:p w14:paraId="72883E0A" w14:textId="18B34478" w:rsidR="006201F6" w:rsidRPr="00EE1E12" w:rsidRDefault="006201F6" w:rsidP="001306B1">
      <w:pPr>
        <w:pStyle w:val="CETheadingx"/>
      </w:pPr>
      <w:r>
        <w:t>2</w:t>
      </w:r>
      <w:r w:rsidRPr="00EE1E12">
        <w:t>.1 Functional and territorial factors at large scale</w:t>
      </w:r>
    </w:p>
    <w:p w14:paraId="5436D977" w14:textId="56C52075" w:rsidR="00453E24" w:rsidRDefault="00D000AA" w:rsidP="00D000AA">
      <w:pPr>
        <w:pStyle w:val="CETBodytext"/>
      </w:pPr>
      <w:r>
        <w:t>Italy ranked third among the Member States with a higher number of establishments, slightly above 8% of the European total with 97</w:t>
      </w:r>
      <w:r w:rsidR="00054D8D">
        <w:t>4</w:t>
      </w:r>
      <w:r>
        <w:t xml:space="preserve"> establishments at the end of 2023</w:t>
      </w:r>
      <w:r w:rsidR="0018303C">
        <w:t xml:space="preserve"> </w:t>
      </w:r>
      <w:r w:rsidR="0018303C" w:rsidRPr="0018303C">
        <w:rPr>
          <w:rFonts w:cs="Arial"/>
        </w:rPr>
        <w:t>(</w:t>
      </w:r>
      <w:r w:rsidR="0018303C" w:rsidRPr="00BE1C1D">
        <w:rPr>
          <w:rFonts w:cs="Arial"/>
        </w:rPr>
        <w:t>ISPRA, 2023</w:t>
      </w:r>
      <w:r w:rsidR="0018303C" w:rsidRPr="0018303C">
        <w:rPr>
          <w:rFonts w:cs="Arial"/>
        </w:rPr>
        <w:t>)</w:t>
      </w:r>
      <w:r>
        <w:t xml:space="preserve">. </w:t>
      </w:r>
      <w:r w:rsidR="009F6974">
        <w:t xml:space="preserve">To facilitate spatial </w:t>
      </w:r>
      <w:r w:rsidR="00175D35">
        <w:t xml:space="preserve">data </w:t>
      </w:r>
      <w:r w:rsidR="009F6974">
        <w:t>representation, f</w:t>
      </w:r>
      <w:r>
        <w:t xml:space="preserve">rom the information </w:t>
      </w:r>
      <w:r w:rsidR="00175D35">
        <w:t>available in</w:t>
      </w:r>
      <w:r>
        <w:t xml:space="preserve"> </w:t>
      </w:r>
      <w:r w:rsidR="00B663DB">
        <w:t xml:space="preserve">the </w:t>
      </w:r>
      <w:r w:rsidR="00A0300B">
        <w:t xml:space="preserve">Italian </w:t>
      </w:r>
      <w:r>
        <w:t>national inventory</w:t>
      </w:r>
      <w:r w:rsidR="00A0300B">
        <w:t xml:space="preserve"> for MHI</w:t>
      </w:r>
      <w:r w:rsidR="001B6527">
        <w:t>s</w:t>
      </w:r>
      <w:r w:rsidR="00A0300B">
        <w:t xml:space="preserve">, </w:t>
      </w:r>
      <w:r w:rsidR="00C807F4">
        <w:t>t</w:t>
      </w:r>
      <w:r>
        <w:t xml:space="preserve">he </w:t>
      </w:r>
      <w:r w:rsidR="005F1F9D">
        <w:t xml:space="preserve">39 </w:t>
      </w:r>
      <w:r w:rsidR="00EF7A57">
        <w:t xml:space="preserve">categories for </w:t>
      </w:r>
      <w:r w:rsidR="0035772B">
        <w:t xml:space="preserve">industrial </w:t>
      </w:r>
      <w:r w:rsidR="00162A21">
        <w:t>activit</w:t>
      </w:r>
      <w:r w:rsidR="00EF7A57">
        <w:t xml:space="preserve">ies </w:t>
      </w:r>
      <w:r w:rsidR="001B6527">
        <w:t xml:space="preserve">used in the </w:t>
      </w:r>
      <w:r w:rsidR="00DC237C">
        <w:t xml:space="preserve">transposed </w:t>
      </w:r>
      <w:r w:rsidR="001B6527">
        <w:t xml:space="preserve">Italian </w:t>
      </w:r>
      <w:r w:rsidR="00DC237C">
        <w:t>legislation</w:t>
      </w:r>
      <w:r w:rsidR="001B6527">
        <w:t xml:space="preserve"> </w:t>
      </w:r>
      <w:r w:rsidR="00DC237C">
        <w:t>for Seveso III</w:t>
      </w:r>
      <w:r w:rsidR="00C807F4">
        <w:t xml:space="preserve"> </w:t>
      </w:r>
      <w:r>
        <w:t>w</w:t>
      </w:r>
      <w:r w:rsidR="00B663DB">
        <w:t>ere</w:t>
      </w:r>
      <w:r>
        <w:t xml:space="preserve"> clustered in macro-sector</w:t>
      </w:r>
      <w:r w:rsidR="00D90860">
        <w:t>s</w:t>
      </w:r>
      <w:r w:rsidR="00175D35">
        <w:t xml:space="preserve">. </w:t>
      </w:r>
      <w:r w:rsidR="00873A61" w:rsidRPr="00873A61">
        <w:t xml:space="preserve">This classification in macro-sectors was tailored </w:t>
      </w:r>
      <w:r w:rsidR="00017521">
        <w:t>to address</w:t>
      </w:r>
      <w:r w:rsidR="00873A61" w:rsidRPr="00873A61">
        <w:t xml:space="preserve"> previous criteria </w:t>
      </w:r>
      <w:r w:rsidR="00EF7A57">
        <w:t>used by</w:t>
      </w:r>
      <w:r w:rsidR="00873A61" w:rsidRPr="00873A61">
        <w:t xml:space="preserve"> various authors in the fields of NaTech and process </w:t>
      </w:r>
      <w:r w:rsidR="00EF7A57">
        <w:t>safety</w:t>
      </w:r>
      <w:r w:rsidR="00873A61">
        <w:t xml:space="preserve"> </w:t>
      </w:r>
      <w:r w:rsidR="006540A7" w:rsidRPr="006540A7">
        <w:rPr>
          <w:rFonts w:cs="Arial"/>
        </w:rPr>
        <w:t>(Casson Moreno et al., 2018; Ricci et al., 2021)</w:t>
      </w:r>
      <w:r>
        <w:t xml:space="preserve">. The macro-sectors </w:t>
      </w:r>
      <w:r w:rsidR="0035772B">
        <w:t>that match MHI</w:t>
      </w:r>
      <w:r w:rsidR="006D020E">
        <w:t xml:space="preserve">s </w:t>
      </w:r>
      <w:r w:rsidR="00327B2B">
        <w:t>characteristic</w:t>
      </w:r>
      <w:r w:rsidR="004643D9">
        <w:t>s</w:t>
      </w:r>
      <w:r w:rsidR="00327B2B">
        <w:t xml:space="preserve"> </w:t>
      </w:r>
      <w:r w:rsidR="0035772B">
        <w:t xml:space="preserve">were: </w:t>
      </w:r>
      <w:r>
        <w:t>i) chemical and petrochemical</w:t>
      </w:r>
      <w:r w:rsidR="007146F2">
        <w:t>;</w:t>
      </w:r>
      <w:r>
        <w:t xml:space="preserve"> ii) storage and warehousing</w:t>
      </w:r>
      <w:r w:rsidR="007146F2">
        <w:t>;</w:t>
      </w:r>
      <w:r>
        <w:t xml:space="preserve"> iii) power production</w:t>
      </w:r>
      <w:r w:rsidR="007146F2">
        <w:t>;</w:t>
      </w:r>
      <w:r>
        <w:t xml:space="preserve"> iv) bioprocess</w:t>
      </w:r>
      <w:r w:rsidR="007146F2">
        <w:t>;</w:t>
      </w:r>
      <w:r>
        <w:t xml:space="preserve"> and v) manufacturing. In addition, the category “other” was </w:t>
      </w:r>
      <w:r w:rsidR="00B83F83">
        <w:t xml:space="preserve">introduced </w:t>
      </w:r>
      <w:r w:rsidR="00E456DE">
        <w:t>considering</w:t>
      </w:r>
      <w:r w:rsidR="0011559F" w:rsidRPr="0011559F">
        <w:t xml:space="preserve"> that in the Italian inventory</w:t>
      </w:r>
      <w:r w:rsidR="00B23429">
        <w:t>,</w:t>
      </w:r>
      <w:r w:rsidR="0011559F" w:rsidRPr="0011559F">
        <w:t xml:space="preserve"> the category </w:t>
      </w:r>
      <w:r w:rsidR="005400D9">
        <w:t>“</w:t>
      </w:r>
      <w:r w:rsidR="0011559F" w:rsidRPr="0011559F">
        <w:t>other activity not specified in the list</w:t>
      </w:r>
      <w:r w:rsidR="005400D9">
        <w:t>”</w:t>
      </w:r>
      <w:r w:rsidR="0011559F" w:rsidRPr="0011559F">
        <w:t xml:space="preserve"> has 85 plants</w:t>
      </w:r>
      <w:r w:rsidR="00B23429">
        <w:t>,</w:t>
      </w:r>
      <w:r w:rsidR="0011559F">
        <w:t xml:space="preserve"> </w:t>
      </w:r>
      <w:r w:rsidR="005400D9">
        <w:t>which do</w:t>
      </w:r>
      <w:r w:rsidR="00B663DB">
        <w:t>es</w:t>
      </w:r>
      <w:r>
        <w:t xml:space="preserve"> not allow the classification in macro-sectors. Subsequently, the macro-sectors were represented </w:t>
      </w:r>
      <w:r w:rsidR="00347D69">
        <w:t>on a</w:t>
      </w:r>
      <w:r w:rsidR="00327D6B">
        <w:t xml:space="preserve"> large scale </w:t>
      </w:r>
      <w:r>
        <w:t xml:space="preserve">as pie charts </w:t>
      </w:r>
      <w:r w:rsidR="00B8188B">
        <w:t>for</w:t>
      </w:r>
      <w:r w:rsidR="005C05D6">
        <w:t xml:space="preserve"> each region, aiming</w:t>
      </w:r>
      <w:r>
        <w:t xml:space="preserve"> to </w:t>
      </w:r>
      <w:r w:rsidR="0008082B">
        <w:t>put together</w:t>
      </w:r>
      <w:r w:rsidR="009E2BBA">
        <w:t xml:space="preserve"> </w:t>
      </w:r>
      <w:r>
        <w:t xml:space="preserve">their geographical distribution with </w:t>
      </w:r>
      <w:r w:rsidR="00347D69">
        <w:t>the</w:t>
      </w:r>
      <w:r w:rsidR="000A763E">
        <w:t xml:space="preserve"> corresponding </w:t>
      </w:r>
      <w:r w:rsidR="005400D9">
        <w:t>d</w:t>
      </w:r>
      <w:r>
        <w:t>ensity of lightning to the ground (</w:t>
      </w:r>
      <w:r w:rsidR="00087B35" w:rsidRPr="00704C56">
        <w:rPr>
          <w:i/>
          <w:iCs/>
        </w:rPr>
        <w:t>Ng</w:t>
      </w:r>
      <w:r w:rsidR="00940FE6">
        <w:t>)</w:t>
      </w:r>
      <w:r>
        <w:t>.</w:t>
      </w:r>
      <w:r w:rsidR="00F64DBC">
        <w:t xml:space="preserve"> </w:t>
      </w:r>
    </w:p>
    <w:p w14:paraId="3112A80D" w14:textId="01752FF4" w:rsidR="00031332" w:rsidRDefault="00E02DFA" w:rsidP="00D000AA">
      <w:pPr>
        <w:pStyle w:val="CETBodytext"/>
      </w:pPr>
      <w:r w:rsidRPr="008109E6">
        <w:t xml:space="preserve">Regarding </w:t>
      </w:r>
      <w:r w:rsidR="00706B20" w:rsidRPr="008109E6">
        <w:rPr>
          <w:i/>
          <w:iCs/>
        </w:rPr>
        <w:t>Ng</w:t>
      </w:r>
      <w:r w:rsidR="008109E6" w:rsidRPr="008109E6">
        <w:t>, it</w:t>
      </w:r>
      <w:r w:rsidR="00706B20" w:rsidRPr="008109E6">
        <w:t xml:space="preserve"> indicates</w:t>
      </w:r>
      <w:r w:rsidR="00706B20" w:rsidRPr="00706B20">
        <w:t xml:space="preserve"> the average yearly number of lightning strikes per square kilometer (lightning/year·km</w:t>
      </w:r>
      <w:r w:rsidR="00706B20" w:rsidRPr="00706B20">
        <w:rPr>
          <w:vertAlign w:val="superscript"/>
        </w:rPr>
        <w:t>2</w:t>
      </w:r>
      <w:r w:rsidR="00706B20" w:rsidRPr="00706B20">
        <w:t xml:space="preserve">). After </w:t>
      </w:r>
      <w:r w:rsidR="006A5F22" w:rsidRPr="00706B20">
        <w:t>Electrotechnical Committee (CEI)</w:t>
      </w:r>
      <w:r w:rsidR="00706B20" w:rsidRPr="00706B20">
        <w:t xml:space="preserve"> Guide 81-3: 1999</w:t>
      </w:r>
      <w:r w:rsidR="007262E6">
        <w:t>,</w:t>
      </w:r>
      <w:r w:rsidR="00016335">
        <w:t xml:space="preserve"> </w:t>
      </w:r>
      <w:r w:rsidR="00E929D6">
        <w:rPr>
          <w:rFonts w:ascii="Times New Roman" w:hAnsi="Times New Roman"/>
        </w:rPr>
        <w:t>─</w:t>
      </w:r>
      <w:r w:rsidR="00706B20">
        <w:t>“</w:t>
      </w:r>
      <w:r w:rsidR="00706B20" w:rsidRPr="00B96DED">
        <w:t xml:space="preserve">Average values of the number of lightning strikes on the ground per year and </w:t>
      </w:r>
      <w:r w:rsidR="00B663DB">
        <w:t xml:space="preserve">a </w:t>
      </w:r>
      <w:r w:rsidR="00706B20" w:rsidRPr="00B96DED">
        <w:t>square kilometer of the municipalities of Italy in alphabetical order</w:t>
      </w:r>
      <w:r w:rsidR="007262E6">
        <w:t>,</w:t>
      </w:r>
      <w:r w:rsidR="00706B20">
        <w:t>”</w:t>
      </w:r>
      <w:r w:rsidR="00734F30">
        <w:rPr>
          <w:rFonts w:ascii="Times New Roman" w:hAnsi="Times New Roman"/>
        </w:rPr>
        <w:t>─</w:t>
      </w:r>
      <w:r w:rsidR="00016335">
        <w:rPr>
          <w:rFonts w:ascii="Times New Roman" w:hAnsi="Times New Roman"/>
        </w:rPr>
        <w:t xml:space="preserve"> </w:t>
      </w:r>
      <w:r w:rsidR="008D6C73" w:rsidRPr="00706B20">
        <w:t>was repealed in 2014</w:t>
      </w:r>
      <w:r w:rsidR="008D6C73">
        <w:t xml:space="preserve">, </w:t>
      </w:r>
      <w:r w:rsidR="00031332" w:rsidRPr="00ED6E23">
        <w:rPr>
          <w:i/>
          <w:iCs/>
        </w:rPr>
        <w:t>Ng</w:t>
      </w:r>
      <w:r w:rsidR="00031332" w:rsidRPr="00706B20">
        <w:t xml:space="preserve"> </w:t>
      </w:r>
      <w:r w:rsidR="001430AF">
        <w:t>started to</w:t>
      </w:r>
      <w:r w:rsidR="00031332" w:rsidRPr="00706B20">
        <w:t xml:space="preserve"> be calculated utilizing nationwide ground lightning location networks (LLS). Geographical coordinates can be used to obtain </w:t>
      </w:r>
      <w:r w:rsidR="00734F30">
        <w:t xml:space="preserve">the </w:t>
      </w:r>
      <w:r w:rsidR="00031332" w:rsidRPr="00706B20">
        <w:t>values of specific locations from the CEI through the online CEI application (CEI ProDis</w:t>
      </w:r>
      <w:r w:rsidR="00031332" w:rsidRPr="00AB6AC4">
        <w:t>).</w:t>
      </w:r>
      <w:r w:rsidR="00555AA6" w:rsidRPr="00041110">
        <w:t xml:space="preserve"> </w:t>
      </w:r>
      <w:r w:rsidR="004F0ABE" w:rsidRPr="00041110">
        <w:t>Although</w:t>
      </w:r>
      <w:r w:rsidR="00E570DC" w:rsidRPr="00041110">
        <w:t xml:space="preserve"> </w:t>
      </w:r>
      <w:r w:rsidR="00DE17A1" w:rsidRPr="00041110">
        <w:t xml:space="preserve">the </w:t>
      </w:r>
      <w:r w:rsidR="00DE17A1" w:rsidRPr="00AB6AC4">
        <w:t>document</w:t>
      </w:r>
      <w:r w:rsidR="00DE17A1" w:rsidRPr="00706B20">
        <w:t xml:space="preserve"> regarding the average number of lightning strikes per year and square kilometer in Italian municipalities, assigned values of </w:t>
      </w:r>
      <w:r w:rsidR="00DE17A1" w:rsidRPr="00ED6E23">
        <w:rPr>
          <w:i/>
          <w:iCs/>
        </w:rPr>
        <w:t>Ng</w:t>
      </w:r>
      <w:r w:rsidR="00DE17A1" w:rsidRPr="00706B20">
        <w:t xml:space="preserve"> to </w:t>
      </w:r>
      <w:r w:rsidR="00DE17A1">
        <w:t xml:space="preserve">three </w:t>
      </w:r>
      <w:r w:rsidR="00DE17A1" w:rsidRPr="00706B20">
        <w:t>different areas in Italy as 4, 2.5, or 1.5 lightning</w:t>
      </w:r>
      <w:r w:rsidR="003B55E8">
        <w:t xml:space="preserve"> per </w:t>
      </w:r>
      <w:r w:rsidR="00DE17A1" w:rsidRPr="00706B20">
        <w:t>year</w:t>
      </w:r>
      <w:r w:rsidR="003B55E8">
        <w:t xml:space="preserve"> per </w:t>
      </w:r>
      <w:r w:rsidR="00DE17A1" w:rsidRPr="00706B20">
        <w:t>km</w:t>
      </w:r>
      <w:r w:rsidR="00DE17A1" w:rsidRPr="00706B20">
        <w:rPr>
          <w:vertAlign w:val="superscript"/>
        </w:rPr>
        <w:t>2</w:t>
      </w:r>
      <w:r w:rsidR="00DE17A1">
        <w:rPr>
          <w:vertAlign w:val="superscript"/>
        </w:rPr>
        <w:t xml:space="preserve"> </w:t>
      </w:r>
      <w:r w:rsidR="00DE17A1">
        <w:t>respectively</w:t>
      </w:r>
      <w:r w:rsidR="00041110">
        <w:t xml:space="preserve"> (</w:t>
      </w:r>
      <w:bookmarkStart w:id="3" w:name="_Hlk159363100"/>
      <w:r w:rsidR="00F30686">
        <w:t>Sabatino and Cordisco</w:t>
      </w:r>
      <w:r w:rsidR="00041110">
        <w:t>, 20</w:t>
      </w:r>
      <w:r w:rsidR="00F30686">
        <w:t>1</w:t>
      </w:r>
      <w:r w:rsidR="00041110">
        <w:t>3</w:t>
      </w:r>
      <w:bookmarkEnd w:id="3"/>
      <w:r w:rsidR="00041110">
        <w:t>)</w:t>
      </w:r>
      <w:r w:rsidR="00DE17A1" w:rsidRPr="00706B20">
        <w:t>, no longer holds normative status</w:t>
      </w:r>
      <w:r w:rsidR="00E570DC">
        <w:t>,</w:t>
      </w:r>
      <w:r w:rsidR="00F44525">
        <w:t xml:space="preserve"> it </w:t>
      </w:r>
      <w:r w:rsidR="00FB4834">
        <w:t>can be</w:t>
      </w:r>
      <w:r w:rsidR="00F44525">
        <w:t xml:space="preserve"> used as </w:t>
      </w:r>
      <w:r w:rsidR="00F44525" w:rsidRPr="00041110">
        <w:t xml:space="preserve">a first </w:t>
      </w:r>
      <w:r w:rsidR="00875C2F">
        <w:t>glance</w:t>
      </w:r>
      <w:r w:rsidR="00875C2F" w:rsidRPr="00041110">
        <w:t xml:space="preserve"> </w:t>
      </w:r>
      <w:r w:rsidR="00F44525" w:rsidRPr="00041110">
        <w:t>to associate lightning territorial vulnerability to MHI distribution. In addition, t</w:t>
      </w:r>
      <w:r w:rsidR="00555AA6" w:rsidRPr="00041110">
        <w:t>h</w:t>
      </w:r>
      <w:r w:rsidR="007A1012" w:rsidRPr="00041110">
        <w:t xml:space="preserve">e </w:t>
      </w:r>
      <w:r w:rsidR="007A1012" w:rsidRPr="00AB6AC4">
        <w:t>CEI ProDis</w:t>
      </w:r>
      <w:r w:rsidR="00555AA6" w:rsidRPr="00041110">
        <w:t xml:space="preserve"> </w:t>
      </w:r>
      <w:r w:rsidR="00F44525" w:rsidRPr="00041110">
        <w:t xml:space="preserve">website </w:t>
      </w:r>
      <w:r w:rsidR="00555AA6" w:rsidRPr="00041110">
        <w:t>application keeps an Italian map visualization</w:t>
      </w:r>
      <w:r w:rsidR="00F44B4E">
        <w:rPr>
          <w:rFonts w:cs="Arial"/>
        </w:rPr>
        <w:t xml:space="preserve">, </w:t>
      </w:r>
      <w:r w:rsidR="00555AA6" w:rsidRPr="00041110">
        <w:t>divided into three qualitative categories</w:t>
      </w:r>
      <w:r w:rsidR="00225417">
        <w:t xml:space="preserve"> (</w:t>
      </w:r>
      <w:r w:rsidR="00225417" w:rsidRPr="00041110">
        <w:rPr>
          <w:rFonts w:cs="Arial"/>
        </w:rPr>
        <w:t>Comitato Elettrotecnico Italiano, 2022)</w:t>
      </w:r>
      <w:r w:rsidR="00225417">
        <w:rPr>
          <w:rFonts w:cs="Arial"/>
        </w:rPr>
        <w:t>. These categories are</w:t>
      </w:r>
      <w:r w:rsidR="00555AA6" w:rsidRPr="00041110">
        <w:t xml:space="preserve"> represented by different colors (high-red, medium-green, and low-blue)</w:t>
      </w:r>
      <w:r w:rsidR="00570BDF">
        <w:t>,</w:t>
      </w:r>
      <w:r w:rsidR="00555AA6" w:rsidRPr="00041110">
        <w:t xml:space="preserve"> </w:t>
      </w:r>
      <w:r w:rsidR="00F44525" w:rsidRPr="00041110">
        <w:t xml:space="preserve">which can be used to contrast </w:t>
      </w:r>
      <w:r w:rsidR="00045736" w:rsidRPr="00041110">
        <w:t xml:space="preserve">the </w:t>
      </w:r>
      <w:r w:rsidR="00AB6AC4" w:rsidRPr="00041110">
        <w:t xml:space="preserve">consistency of </w:t>
      </w:r>
      <w:r w:rsidR="00570BDF">
        <w:t xml:space="preserve">the </w:t>
      </w:r>
      <w:r w:rsidR="00045736" w:rsidRPr="00041110">
        <w:t>discussions hereinafter</w:t>
      </w:r>
      <w:r w:rsidR="00FB78D1">
        <w:t>.</w:t>
      </w:r>
    </w:p>
    <w:p w14:paraId="047541CD" w14:textId="05CADCA9" w:rsidR="00CB41D1" w:rsidRPr="00EE1E12" w:rsidRDefault="00CB41D1" w:rsidP="00993DCE">
      <w:pPr>
        <w:pStyle w:val="CETheadingx"/>
      </w:pPr>
      <w:r>
        <w:t>2</w:t>
      </w:r>
      <w:r w:rsidRPr="00EE1E12">
        <w:t>.</w:t>
      </w:r>
      <w:r>
        <w:t>2</w:t>
      </w:r>
      <w:r w:rsidRPr="00EE1E12">
        <w:t xml:space="preserve"> </w:t>
      </w:r>
      <w:bookmarkStart w:id="4" w:name="_Hlk163398505"/>
      <w:bookmarkStart w:id="5" w:name="_Hlk166085487"/>
      <w:r w:rsidR="00993DCE">
        <w:t>F</w:t>
      </w:r>
      <w:r w:rsidR="007F7190" w:rsidRPr="00EE1E12">
        <w:t>unctional and territorial factors</w:t>
      </w:r>
      <w:bookmarkEnd w:id="4"/>
      <w:r w:rsidR="00993DCE">
        <w:t xml:space="preserve"> </w:t>
      </w:r>
      <w:r w:rsidR="006573B6">
        <w:t>f</w:t>
      </w:r>
      <w:r w:rsidR="00993DCE">
        <w:t>ocus on the industrial context</w:t>
      </w:r>
      <w:r w:rsidR="006573B6">
        <w:t xml:space="preserve"> scale</w:t>
      </w:r>
    </w:p>
    <w:bookmarkEnd w:id="5"/>
    <w:p w14:paraId="171A3310" w14:textId="1F5B0155" w:rsidR="00407BD9" w:rsidRDefault="000D2C08" w:rsidP="00407BD9">
      <w:pPr>
        <w:pStyle w:val="CETBodytext"/>
      </w:pPr>
      <w:r>
        <w:t>First</w:t>
      </w:r>
      <w:r w:rsidR="00407BD9">
        <w:t xml:space="preserve">, the insights concerning lightning-triggered NaTech in the process industry were conducted using a NaTech-driven dataset of 689 records that can be consulted in an open repository (Castro Rodriguez et al., 2023a). This dataset consisted of NaTech events up until 2022 and was built using the open-source industrial-accidents databases ARIA, eMARS, TAD IChemE, eNATECH, NRC, and CSB. Some outputs from the lighting-triggered NaTech-driven dataset analysis were tailored to the present case. For instance, the relative frequency </w:t>
      </w:r>
      <w:r w:rsidR="00407BD9">
        <w:lastRenderedPageBreak/>
        <w:t>of the classifiable records concerning the vulnerable macro-sectors against lightning strikes was determined. In addition, conditional probabilities among different functional attributes of interest, such as macro-sectors, equipment, and final scenarios, were calculated. Further details regarding the methods used, the definition of categories, and the data analysis can be found in Castro Rodríguez et al. (2024).</w:t>
      </w:r>
    </w:p>
    <w:p w14:paraId="14FF6E5B" w14:textId="4354D14B" w:rsidR="000D2C08" w:rsidRDefault="00407BD9" w:rsidP="00407BD9">
      <w:pPr>
        <w:pStyle w:val="CETBodytext"/>
      </w:pPr>
      <w:r>
        <w:t>Second, only functional probabilities were used to compare how sensitive</w:t>
      </w:r>
      <w:r w:rsidR="00775721">
        <w:t xml:space="preserve"> might be against lightning strikes, </w:t>
      </w:r>
      <w:r>
        <w:t xml:space="preserve">two </w:t>
      </w:r>
      <w:r w:rsidR="00775721">
        <w:t xml:space="preserve">different </w:t>
      </w:r>
      <w:r>
        <w:t xml:space="preserve">plants </w:t>
      </w:r>
      <w:r w:rsidR="00775721">
        <w:t xml:space="preserve">belonging to </w:t>
      </w:r>
      <w:r>
        <w:t xml:space="preserve">the same macro-sector </w:t>
      </w:r>
      <w:r w:rsidR="00775721">
        <w:t xml:space="preserve">but </w:t>
      </w:r>
      <w:r>
        <w:t>hypothetically located in different regions. This showed that the results were not consistent when the location factor was not taken into account.</w:t>
      </w:r>
    </w:p>
    <w:p w14:paraId="677EBFF0" w14:textId="476FC6CE" w:rsidR="00600535" w:rsidRPr="00B57B36" w:rsidRDefault="00474FBB" w:rsidP="00600535">
      <w:pPr>
        <w:pStyle w:val="CETHeading1"/>
        <w:tabs>
          <w:tab w:val="clear" w:pos="360"/>
          <w:tab w:val="right" w:pos="7100"/>
        </w:tabs>
        <w:jc w:val="both"/>
        <w:rPr>
          <w:lang w:val="en-GB"/>
        </w:rPr>
      </w:pPr>
      <w:r>
        <w:rPr>
          <w:lang w:val="en-GB"/>
        </w:rPr>
        <w:t>Results</w:t>
      </w:r>
    </w:p>
    <w:p w14:paraId="14B270A5" w14:textId="55EB6335" w:rsidR="00B209DD" w:rsidRPr="00EE1E12" w:rsidRDefault="00843F7D" w:rsidP="00993DCE">
      <w:pPr>
        <w:pStyle w:val="CETheadingx"/>
      </w:pPr>
      <w:r w:rsidRPr="00EE1E12">
        <w:t xml:space="preserve">3.1 </w:t>
      </w:r>
      <w:r w:rsidR="00B209DD" w:rsidRPr="00EE1E12">
        <w:t>Functional and territorial factors a</w:t>
      </w:r>
      <w:r w:rsidR="00CB6944" w:rsidRPr="00EE1E12">
        <w:t>t</w:t>
      </w:r>
      <w:r w:rsidR="00B209DD" w:rsidRPr="00EE1E12">
        <w:t xml:space="preserve"> large scale</w:t>
      </w:r>
    </w:p>
    <w:p w14:paraId="04963A06" w14:textId="27EE06DC" w:rsidR="00600535" w:rsidRPr="00DE191B" w:rsidRDefault="00E02409" w:rsidP="00DE191B">
      <w:pPr>
        <w:pStyle w:val="CETCaption"/>
        <w:spacing w:before="0" w:after="0"/>
        <w:rPr>
          <w:rStyle w:val="CETCaptionCarattere"/>
          <w:iCs/>
        </w:rPr>
      </w:pPr>
      <w:r w:rsidRPr="00E02409">
        <w:rPr>
          <w:rStyle w:val="CETCaptionCarattere"/>
          <w:iCs/>
        </w:rPr>
        <w:t xml:space="preserve">Figure 1 depicts, on a large scale, the distribution of MHIs in Italy clustered in macro-sectors for each region. This distribution should be contrasted with the Italian map for the distribution of Ng in three categories available </w:t>
      </w:r>
      <w:r w:rsidR="00775721">
        <w:rPr>
          <w:rStyle w:val="CETCaptionCarattere"/>
          <w:iCs/>
        </w:rPr>
        <w:t>on</w:t>
      </w:r>
      <w:r w:rsidR="00775721" w:rsidRPr="00E02409">
        <w:rPr>
          <w:rStyle w:val="CETCaptionCarattere"/>
          <w:iCs/>
        </w:rPr>
        <w:t xml:space="preserve"> </w:t>
      </w:r>
      <w:r w:rsidRPr="00E02409">
        <w:rPr>
          <w:rStyle w:val="CETCaptionCarattere"/>
          <w:iCs/>
        </w:rPr>
        <w:t>the CEI ProDis website (Comitato Elettrotecnico Italiano, 2022).</w:t>
      </w:r>
    </w:p>
    <w:p w14:paraId="0A0DB853" w14:textId="51C55EC5" w:rsidR="00306BA4" w:rsidRPr="00306BA4" w:rsidRDefault="0035583A" w:rsidP="001306B1">
      <w:pPr>
        <w:pStyle w:val="CETBodytext"/>
        <w:jc w:val="left"/>
      </w:pPr>
      <w:r>
        <w:rPr>
          <w:noProof/>
        </w:rPr>
        <w:drawing>
          <wp:inline distT="0" distB="0" distL="0" distR="0" wp14:anchorId="69BAC556" wp14:editId="391989DB">
            <wp:extent cx="2419224" cy="2563858"/>
            <wp:effectExtent l="0" t="0" r="0" b="8255"/>
            <wp:docPr id="11231989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7553" cy="2657467"/>
                    </a:xfrm>
                    <a:prstGeom prst="rect">
                      <a:avLst/>
                    </a:prstGeom>
                    <a:noFill/>
                  </pic:spPr>
                </pic:pic>
              </a:graphicData>
            </a:graphic>
          </wp:inline>
        </w:drawing>
      </w:r>
    </w:p>
    <w:p w14:paraId="2704FCCA" w14:textId="57856B77" w:rsidR="002C2172" w:rsidRDefault="002C2172" w:rsidP="001306B1">
      <w:pPr>
        <w:pStyle w:val="CETCaption"/>
        <w:jc w:val="left"/>
        <w:rPr>
          <w:rStyle w:val="CETCaptionCarattere"/>
          <w:i/>
        </w:rPr>
      </w:pPr>
      <w:r w:rsidRPr="00BD077D">
        <w:rPr>
          <w:rStyle w:val="CETCaptionCarattere"/>
          <w:i/>
        </w:rPr>
        <w:t xml:space="preserve">Figure 1: </w:t>
      </w:r>
      <w:r>
        <w:rPr>
          <w:rStyle w:val="CETCaptionCarattere"/>
          <w:i/>
        </w:rPr>
        <w:t xml:space="preserve">Regional distribution of the industrial macro-sectors </w:t>
      </w:r>
      <w:r w:rsidR="00B84A13">
        <w:rPr>
          <w:rStyle w:val="CETCaptionCarattere"/>
          <w:i/>
        </w:rPr>
        <w:t xml:space="preserve">for </w:t>
      </w:r>
      <w:r w:rsidR="00364B2A">
        <w:rPr>
          <w:rStyle w:val="CETCaptionCarattere"/>
          <w:i/>
        </w:rPr>
        <w:t xml:space="preserve">Italian </w:t>
      </w:r>
      <w:r w:rsidR="00B84A13">
        <w:rPr>
          <w:rStyle w:val="CETCaptionCarattere"/>
          <w:i/>
        </w:rPr>
        <w:t>MHI</w:t>
      </w:r>
      <w:r w:rsidR="000233AF">
        <w:rPr>
          <w:rStyle w:val="CETCaptionCarattere"/>
          <w:i/>
        </w:rPr>
        <w:t>s</w:t>
      </w:r>
      <w:r w:rsidR="00B84A13">
        <w:rPr>
          <w:rStyle w:val="CETCaptionCarattere"/>
          <w:i/>
        </w:rPr>
        <w:t>.</w:t>
      </w:r>
    </w:p>
    <w:p w14:paraId="3FF61116" w14:textId="0A5A6ED7" w:rsidR="009109B5" w:rsidRDefault="00FC7EDE" w:rsidP="00445BE9">
      <w:pPr>
        <w:pStyle w:val="CETCaption"/>
        <w:spacing w:before="0" w:after="0"/>
        <w:rPr>
          <w:rStyle w:val="CETCaptionCarattere"/>
          <w:iCs/>
        </w:rPr>
      </w:pPr>
      <w:r w:rsidRPr="00FC7EDE">
        <w:rPr>
          <w:rStyle w:val="CETCaptionCarattere"/>
          <w:iCs/>
        </w:rPr>
        <w:t xml:space="preserve">High concern is raised by the greater level of industrialization observed in the northern part of Italy </w:t>
      </w:r>
      <w:r w:rsidR="00224D36" w:rsidRPr="00A81D29">
        <w:rPr>
          <w:rFonts w:cs="Arial"/>
          <w:i w:val="0"/>
          <w:iCs/>
        </w:rPr>
        <w:t>(Ricchiuti et al., 2007)</w:t>
      </w:r>
      <w:r w:rsidR="00224D36">
        <w:rPr>
          <w:rStyle w:val="CETCaptionCarattere"/>
          <w:iCs/>
        </w:rPr>
        <w:t>,</w:t>
      </w:r>
      <w:r w:rsidR="00FE3BB4" w:rsidRPr="00FE3BB4">
        <w:rPr>
          <w:rStyle w:val="CETCaptionCarattere"/>
          <w:iCs/>
        </w:rPr>
        <w:t xml:space="preserve"> </w:t>
      </w:r>
      <w:r w:rsidR="003D5C72" w:rsidRPr="003D5C72">
        <w:rPr>
          <w:rStyle w:val="CETCaptionCarattere"/>
          <w:iCs/>
        </w:rPr>
        <w:t xml:space="preserve">where Lombardy emerges as the foremost region with 248 establishments, followed by significant contributions from Veneto (87), Emilia-Romagna (86), and Piedmont (82). In the southern </w:t>
      </w:r>
      <w:r w:rsidR="009A0A90">
        <w:rPr>
          <w:rStyle w:val="CETCaptionCarattere"/>
          <w:iCs/>
        </w:rPr>
        <w:t>part</w:t>
      </w:r>
      <w:r w:rsidR="009A0A90" w:rsidRPr="003D5C72">
        <w:rPr>
          <w:rStyle w:val="CETCaptionCarattere"/>
          <w:iCs/>
        </w:rPr>
        <w:t xml:space="preserve"> </w:t>
      </w:r>
      <w:r w:rsidR="003D5C72" w:rsidRPr="003D5C72">
        <w:rPr>
          <w:rStyle w:val="CETCaptionCarattere"/>
          <w:iCs/>
        </w:rPr>
        <w:t xml:space="preserve">of the country, the prominence </w:t>
      </w:r>
      <w:r w:rsidR="00B663DB">
        <w:rPr>
          <w:rStyle w:val="CETCaptionCarattere"/>
          <w:iCs/>
        </w:rPr>
        <w:t>of</w:t>
      </w:r>
      <w:r w:rsidR="003D5C72" w:rsidRPr="003D5C72">
        <w:rPr>
          <w:rStyle w:val="CETCaptionCarattere"/>
          <w:iCs/>
        </w:rPr>
        <w:t xml:space="preserve"> industrialization is noted in the Campania region</w:t>
      </w:r>
      <w:r w:rsidR="00855866">
        <w:rPr>
          <w:rStyle w:val="CETCaptionCarattere"/>
          <w:iCs/>
        </w:rPr>
        <w:t>,</w:t>
      </w:r>
      <w:r w:rsidR="003D5C72" w:rsidRPr="003D5C72">
        <w:rPr>
          <w:rStyle w:val="CETCaptionCarattere"/>
          <w:iCs/>
        </w:rPr>
        <w:t xml:space="preserve"> with 79 establishments. Up to this point, Figure 1 merely offers a visual representation of known data. However, it is noteworthy that the pie</w:t>
      </w:r>
      <w:r w:rsidR="00B663DB">
        <w:rPr>
          <w:rStyle w:val="CETCaptionCarattere"/>
          <w:iCs/>
        </w:rPr>
        <w:t xml:space="preserve"> </w:t>
      </w:r>
      <w:r w:rsidR="003D5C72" w:rsidRPr="003D5C72">
        <w:rPr>
          <w:rStyle w:val="CETCaptionCarattere"/>
          <w:iCs/>
        </w:rPr>
        <w:t xml:space="preserve">charts predominantly depict the </w:t>
      </w:r>
      <w:r w:rsidR="00151C4F">
        <w:rPr>
          <w:rStyle w:val="CETCaptionCarattere"/>
          <w:iCs/>
        </w:rPr>
        <w:t>“</w:t>
      </w:r>
      <w:r w:rsidR="003D5C72" w:rsidRPr="003D5C72">
        <w:rPr>
          <w:rStyle w:val="CETCaptionCarattere"/>
          <w:iCs/>
        </w:rPr>
        <w:t>Chemical and Petrochemical</w:t>
      </w:r>
      <w:r w:rsidR="00151C4F">
        <w:rPr>
          <w:rStyle w:val="CETCaptionCarattere"/>
          <w:iCs/>
        </w:rPr>
        <w:t>,”</w:t>
      </w:r>
      <w:r w:rsidR="003D5C72" w:rsidRPr="003D5C72">
        <w:rPr>
          <w:rStyle w:val="CETCaptionCarattere"/>
          <w:iCs/>
        </w:rPr>
        <w:t xml:space="preserve"> </w:t>
      </w:r>
      <w:r w:rsidR="00151C4F">
        <w:rPr>
          <w:rStyle w:val="CETCaptionCarattere"/>
          <w:iCs/>
        </w:rPr>
        <w:t>“</w:t>
      </w:r>
      <w:r w:rsidR="003D5C72" w:rsidRPr="003D5C72">
        <w:rPr>
          <w:rStyle w:val="CETCaptionCarattere"/>
          <w:iCs/>
        </w:rPr>
        <w:t>Storage and Warehousing</w:t>
      </w:r>
      <w:r w:rsidR="00855866">
        <w:rPr>
          <w:rStyle w:val="CETCaptionCarattere"/>
          <w:iCs/>
        </w:rPr>
        <w:t>,</w:t>
      </w:r>
      <w:r w:rsidR="00151C4F">
        <w:rPr>
          <w:rStyle w:val="CETCaptionCarattere"/>
          <w:iCs/>
        </w:rPr>
        <w:t>”</w:t>
      </w:r>
      <w:r w:rsidR="003D5C72" w:rsidRPr="003D5C72">
        <w:rPr>
          <w:rStyle w:val="CETCaptionCarattere"/>
          <w:iCs/>
        </w:rPr>
        <w:t xml:space="preserve"> </w:t>
      </w:r>
      <w:r w:rsidR="00EC10C0">
        <w:rPr>
          <w:rStyle w:val="CETCaptionCarattere"/>
          <w:iCs/>
        </w:rPr>
        <w:t>and “</w:t>
      </w:r>
      <w:r w:rsidR="00AA6573">
        <w:rPr>
          <w:rStyle w:val="CETCaptionCarattere"/>
          <w:iCs/>
        </w:rPr>
        <w:t>M</w:t>
      </w:r>
      <w:r w:rsidR="00EC10C0">
        <w:rPr>
          <w:rStyle w:val="CETCaptionCarattere"/>
          <w:iCs/>
        </w:rPr>
        <w:t xml:space="preserve">anufacturing” </w:t>
      </w:r>
      <w:r w:rsidR="003D5C72" w:rsidRPr="003D5C72">
        <w:rPr>
          <w:rStyle w:val="CETCaptionCarattere"/>
          <w:iCs/>
        </w:rPr>
        <w:t xml:space="preserve">macro-sectors, </w:t>
      </w:r>
      <w:r w:rsidR="00151C4F">
        <w:rPr>
          <w:rStyle w:val="CETCaptionCarattere"/>
          <w:iCs/>
        </w:rPr>
        <w:t xml:space="preserve">with values </w:t>
      </w:r>
      <w:r w:rsidR="00AA6573">
        <w:rPr>
          <w:rStyle w:val="CETCaptionCarattere"/>
          <w:iCs/>
        </w:rPr>
        <w:t>up</w:t>
      </w:r>
      <w:r w:rsidR="00151C4F">
        <w:rPr>
          <w:rStyle w:val="CETCaptionCarattere"/>
          <w:iCs/>
        </w:rPr>
        <w:t xml:space="preserve"> to </w:t>
      </w:r>
      <w:r w:rsidR="00AA6573">
        <w:rPr>
          <w:rStyle w:val="CETCaptionCarattere"/>
          <w:iCs/>
        </w:rPr>
        <w:t>8</w:t>
      </w:r>
      <w:r w:rsidR="00146BD3">
        <w:rPr>
          <w:rStyle w:val="CETCaptionCarattere"/>
          <w:iCs/>
        </w:rPr>
        <w:t>5</w:t>
      </w:r>
      <w:r w:rsidR="003D5C72" w:rsidRPr="003D5C72">
        <w:rPr>
          <w:rStyle w:val="CETCaptionCarattere"/>
          <w:iCs/>
        </w:rPr>
        <w:t>% of all critical MHI</w:t>
      </w:r>
      <w:r w:rsidR="00A93FA6">
        <w:rPr>
          <w:rStyle w:val="CETCaptionCarattere"/>
          <w:iCs/>
        </w:rPr>
        <w:t>s</w:t>
      </w:r>
      <w:r w:rsidR="003D5C72" w:rsidRPr="003D5C72">
        <w:rPr>
          <w:rStyle w:val="CETCaptionCarattere"/>
          <w:iCs/>
        </w:rPr>
        <w:t xml:space="preserve"> in Italy.</w:t>
      </w:r>
    </w:p>
    <w:p w14:paraId="0A1C504F" w14:textId="53514E1A" w:rsidR="00A6259F" w:rsidRDefault="00200479" w:rsidP="00445BE9">
      <w:pPr>
        <w:pStyle w:val="CETCaption"/>
        <w:spacing w:before="0" w:after="0"/>
        <w:rPr>
          <w:rStyle w:val="CETCaptionCarattere"/>
          <w:iCs/>
        </w:rPr>
      </w:pPr>
      <w:r w:rsidRPr="00200479">
        <w:rPr>
          <w:rStyle w:val="CETCaptionCarattere"/>
          <w:iCs/>
        </w:rPr>
        <w:t xml:space="preserve">Contrasting the information in Figure 1 with the Italian map for the distribution of </w:t>
      </w:r>
      <w:r w:rsidRPr="001306B1">
        <w:rPr>
          <w:rStyle w:val="CETCaptionCarattere"/>
          <w:i/>
        </w:rPr>
        <w:t>Ng</w:t>
      </w:r>
      <w:r w:rsidRPr="00200479">
        <w:rPr>
          <w:rStyle w:val="CETCaptionCarattere"/>
          <w:iCs/>
        </w:rPr>
        <w:t>, it is alarming how almost all regions with a very high or high quantity of establishments, as mentioned previously, correspond to zones of medium (green) or high (yellow</w:t>
      </w:r>
      <w:r w:rsidR="00775721">
        <w:rPr>
          <w:rStyle w:val="CETCaptionCarattere"/>
          <w:rFonts w:cs="Arial"/>
          <w:iCs/>
        </w:rPr>
        <w:t>-</w:t>
      </w:r>
      <w:r w:rsidRPr="00200479">
        <w:rPr>
          <w:rStyle w:val="CETCaptionCarattere"/>
          <w:iCs/>
        </w:rPr>
        <w:t xml:space="preserve">red) </w:t>
      </w:r>
      <w:r w:rsidRPr="001306B1">
        <w:rPr>
          <w:rStyle w:val="CETCaptionCarattere"/>
          <w:i/>
        </w:rPr>
        <w:t>Ng</w:t>
      </w:r>
      <w:r w:rsidRPr="00200479">
        <w:rPr>
          <w:rStyle w:val="CETCaptionCarattere"/>
          <w:iCs/>
        </w:rPr>
        <w:t xml:space="preserve"> based on the dynamic distribution of colors (CEI ProDis website). On the other hand, there are regions with a medium or medium-low quantity of establishments that fall under zones with significant </w:t>
      </w:r>
      <w:r w:rsidRPr="001306B1">
        <w:rPr>
          <w:rStyle w:val="CETCaptionCarattere"/>
          <w:i/>
        </w:rPr>
        <w:t>Ng</w:t>
      </w:r>
      <w:r w:rsidRPr="00200479">
        <w:rPr>
          <w:rStyle w:val="CETCaptionCarattere"/>
          <w:iCs/>
        </w:rPr>
        <w:t xml:space="preserve">, such as Friuli-Venezia Giulia, Liguria, or Lazio. It is important to consider both the total number of facilities and their density when correlating meteorological data. Factors such as geographical extension or the eventual clustering of establishments in specific zones influence density. For example, Liguria and Friuli-Venezia Giulia both have 30 establishments in a zone with similar </w:t>
      </w:r>
      <w:r w:rsidRPr="001306B1">
        <w:rPr>
          <w:rStyle w:val="CETCaptionCarattere"/>
          <w:i/>
        </w:rPr>
        <w:t>Ng</w:t>
      </w:r>
      <w:r w:rsidRPr="00200479">
        <w:rPr>
          <w:rStyle w:val="CETCaptionCarattere"/>
          <w:iCs/>
        </w:rPr>
        <w:t xml:space="preserve"> color contrasts. However, there is a higher chance that a lightning strike will damage one plant in Liguria than in Friuli-Venezia Giulia because the area where Liguria has 30 MHIs is 0.68 times smaller than the area where Friuli-Venezia Giulia has 30 MHIs. When looking at NaTech events on a large scale, these issues put them in context by including both functional factors (macro-sectors as technical attributes) and territorial factors linked to the </w:t>
      </w:r>
      <w:r w:rsidR="00333BD0">
        <w:rPr>
          <w:rStyle w:val="CETCaptionCarattere"/>
          <w:iCs/>
        </w:rPr>
        <w:t>meteorological information</w:t>
      </w:r>
      <w:r w:rsidRPr="00200479">
        <w:rPr>
          <w:rStyle w:val="CETCaptionCarattere"/>
          <w:iCs/>
        </w:rPr>
        <w:t xml:space="preserve"> of concern (Ng). This function-location perspective requires the attention of stakeholders at different decision-making levels, such as operators, regulators, technicians, and local planners, to enhance vulnerability awareness and strengthen the decision-making processes.</w:t>
      </w:r>
    </w:p>
    <w:p w14:paraId="1490318F" w14:textId="4A194959" w:rsidR="0024570B" w:rsidRPr="0024570B" w:rsidRDefault="00C32EB4" w:rsidP="00993DCE">
      <w:pPr>
        <w:pStyle w:val="CETheadingx"/>
      </w:pPr>
      <w:r>
        <w:lastRenderedPageBreak/>
        <w:t xml:space="preserve">3.2 </w:t>
      </w:r>
      <w:r w:rsidR="00407BD9" w:rsidRPr="00407BD9">
        <w:t>Functional and territorial factors focus on the industrial context scale</w:t>
      </w:r>
      <w:r w:rsidR="006A7EE4" w:rsidRPr="006A7EE4" w:rsidDel="00C9126F">
        <w:t xml:space="preserve"> </w:t>
      </w:r>
    </w:p>
    <w:p w14:paraId="1548AEAC" w14:textId="5F5200AD" w:rsidR="00E763BD" w:rsidRPr="00A6259F" w:rsidRDefault="0087383F" w:rsidP="00445BE9">
      <w:pPr>
        <w:pStyle w:val="CETCaption"/>
        <w:spacing w:before="0" w:after="0"/>
        <w:rPr>
          <w:rStyle w:val="CETCaptionCarattere"/>
          <w:iCs/>
        </w:rPr>
      </w:pPr>
      <w:r>
        <w:rPr>
          <w:rStyle w:val="CETCaptionCarattere"/>
          <w:iCs/>
        </w:rPr>
        <w:t>Figure 2</w:t>
      </w:r>
      <w:r w:rsidR="00084098">
        <w:rPr>
          <w:rStyle w:val="CETCaptionCarattere"/>
          <w:iCs/>
        </w:rPr>
        <w:t xml:space="preserve"> shows</w:t>
      </w:r>
      <w:r w:rsidR="000866A9">
        <w:rPr>
          <w:rStyle w:val="CETCaptionCarattere"/>
          <w:iCs/>
        </w:rPr>
        <w:t xml:space="preserve"> the </w:t>
      </w:r>
      <w:r w:rsidR="00417DFF">
        <w:rPr>
          <w:rStyle w:val="CETCaptionCarattere"/>
          <w:iCs/>
        </w:rPr>
        <w:t>vulnerable macro-sectors against lightning strikes</w:t>
      </w:r>
      <w:r w:rsidR="00084098">
        <w:rPr>
          <w:rStyle w:val="CETCaptionCarattere"/>
          <w:iCs/>
        </w:rPr>
        <w:t xml:space="preserve">. </w:t>
      </w:r>
    </w:p>
    <w:p w14:paraId="57BD0470" w14:textId="4D52FF4E" w:rsidR="00FE3F55" w:rsidRDefault="00FE3F55" w:rsidP="001306B1">
      <w:pPr>
        <w:pStyle w:val="CETBodytext"/>
        <w:jc w:val="left"/>
        <w:rPr>
          <w:rStyle w:val="CETCaptionCarattere"/>
          <w:i w:val="0"/>
        </w:rPr>
      </w:pPr>
      <w:r>
        <w:rPr>
          <w:rStyle w:val="CETCaptionCarattere"/>
          <w:noProof/>
        </w:rPr>
        <w:drawing>
          <wp:inline distT="0" distB="0" distL="0" distR="0" wp14:anchorId="20318207" wp14:editId="2E1325E6">
            <wp:extent cx="3345735" cy="1741563"/>
            <wp:effectExtent l="0" t="0" r="7620" b="0"/>
            <wp:docPr id="15062282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328" t="1200" r="1390" b="3018"/>
                    <a:stretch/>
                  </pic:blipFill>
                  <pic:spPr bwMode="auto">
                    <a:xfrm>
                      <a:off x="0" y="0"/>
                      <a:ext cx="3554119" cy="1850033"/>
                    </a:xfrm>
                    <a:prstGeom prst="rect">
                      <a:avLst/>
                    </a:prstGeom>
                    <a:noFill/>
                    <a:ln>
                      <a:noFill/>
                    </a:ln>
                    <a:extLst>
                      <a:ext uri="{53640926-AAD7-44D8-BBD7-CCE9431645EC}">
                        <a14:shadowObscured xmlns:a14="http://schemas.microsoft.com/office/drawing/2010/main"/>
                      </a:ext>
                    </a:extLst>
                  </pic:spPr>
                </pic:pic>
              </a:graphicData>
            </a:graphic>
          </wp:inline>
        </w:drawing>
      </w:r>
    </w:p>
    <w:p w14:paraId="0389E5D9" w14:textId="77272114" w:rsidR="003A00CD" w:rsidRDefault="003A00CD" w:rsidP="001306B1">
      <w:pPr>
        <w:pStyle w:val="CETBodytext"/>
        <w:spacing w:after="240"/>
        <w:jc w:val="left"/>
        <w:rPr>
          <w:rStyle w:val="CETCaptionCarattere"/>
          <w:iCs/>
        </w:rPr>
      </w:pPr>
      <w:r w:rsidRPr="00BD077D">
        <w:rPr>
          <w:rStyle w:val="CETCaptionCarattere"/>
        </w:rPr>
        <w:t xml:space="preserve">Figure </w:t>
      </w:r>
      <w:r>
        <w:rPr>
          <w:rStyle w:val="CETCaptionCarattere"/>
        </w:rPr>
        <w:t>2</w:t>
      </w:r>
      <w:r w:rsidRPr="00BD077D">
        <w:rPr>
          <w:rStyle w:val="CETCaptionCarattere"/>
        </w:rPr>
        <w:t>:</w:t>
      </w:r>
      <w:r>
        <w:rPr>
          <w:rStyle w:val="CETCaptionCarattere"/>
        </w:rPr>
        <w:t xml:space="preserve"> Pareto diagram </w:t>
      </w:r>
      <w:r w:rsidR="004F35EE">
        <w:rPr>
          <w:rStyle w:val="CETCaptionCarattere"/>
        </w:rPr>
        <w:t xml:space="preserve">for macro-sectors </w:t>
      </w:r>
      <w:r w:rsidR="00B663DB">
        <w:rPr>
          <w:rStyle w:val="CETCaptionCarattere"/>
        </w:rPr>
        <w:t xml:space="preserve">vulnerability </w:t>
      </w:r>
      <w:r w:rsidR="00EF2136">
        <w:rPr>
          <w:rStyle w:val="CETCaptionCarattere"/>
          <w:iCs/>
        </w:rPr>
        <w:t>against lightning strikes within the process industry.</w:t>
      </w:r>
    </w:p>
    <w:p w14:paraId="67E7D6BE" w14:textId="01733E17" w:rsidR="00600535" w:rsidRDefault="00221BAE" w:rsidP="00600535">
      <w:pPr>
        <w:pStyle w:val="CETBodytext"/>
        <w:rPr>
          <w:lang w:val="en-GB"/>
        </w:rPr>
      </w:pPr>
      <w:r w:rsidRPr="00221BAE">
        <w:rPr>
          <w:lang w:val="en-GB"/>
        </w:rPr>
        <w:t>As can be seen, "Chemical &amp; Petrochemical" (yellow) and "Storage and Warehousing" (black) account for up to 60% of the global NaTech events caused by lightning strikes in the process industry. Furthermore, if “manufacturing” is added, a total of 72% of the NaTech events triggered by lightning in the process industry are totalized. This is a clear match between Figure 2 and Figure 1, where the same macro-sector categories appear as the most frequent under the Italian distribution of MHIs. Since this high vulnerability has been detected, special attention should be given to withstand the potential lightning impact on the facilities. In this line, Table 1 shows the conditional probabilities for categories of vulnerable equipment given the most frequent macro-sectors in Italian MHIs.</w:t>
      </w:r>
    </w:p>
    <w:p w14:paraId="6A5167CF" w14:textId="4D45F905" w:rsidR="00600535" w:rsidRPr="00B57B36" w:rsidRDefault="00600535" w:rsidP="00600535">
      <w:pPr>
        <w:pStyle w:val="CETTabletitle"/>
      </w:pPr>
      <w:r w:rsidRPr="00B57B36">
        <w:t xml:space="preserve">Table 1: </w:t>
      </w:r>
      <w:r w:rsidR="0045482E">
        <w:t>C</w:t>
      </w:r>
      <w:r w:rsidR="0045482E" w:rsidRPr="0045482E">
        <w:t xml:space="preserve">onditional probabilities for categories of vulnerability equipment given </w:t>
      </w:r>
      <w:r w:rsidR="008B6A22">
        <w:t xml:space="preserve">the most </w:t>
      </w:r>
      <w:r w:rsidR="009D4871">
        <w:t xml:space="preserve">critical </w:t>
      </w:r>
      <w:r w:rsidR="00FE5323" w:rsidRPr="0045482E">
        <w:t>macro-sector</w:t>
      </w:r>
      <w:r w:rsidR="00FE5323">
        <w:t xml:space="preserve">s </w:t>
      </w:r>
      <w:r w:rsidR="009D4871">
        <w:t xml:space="preserve">within </w:t>
      </w:r>
      <w:r w:rsidR="008B6A22">
        <w:t>Italian MHI</w:t>
      </w:r>
      <w:r w:rsidR="009D4871">
        <w:t>s</w:t>
      </w:r>
      <w:r w:rsidR="0045482E">
        <w:t>.</w:t>
      </w:r>
    </w:p>
    <w:tbl>
      <w:tblPr>
        <w:tblW w:w="837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37"/>
        <w:gridCol w:w="856"/>
        <w:gridCol w:w="1028"/>
        <w:gridCol w:w="942"/>
        <w:gridCol w:w="1050"/>
        <w:gridCol w:w="1006"/>
        <w:gridCol w:w="908"/>
        <w:gridCol w:w="451"/>
      </w:tblGrid>
      <w:tr w:rsidR="00AC37BC" w:rsidRPr="00B57B36" w14:paraId="4B29AA51" w14:textId="2AFE1937" w:rsidTr="00AC37BC">
        <w:trPr>
          <w:trHeight w:val="438"/>
        </w:trPr>
        <w:tc>
          <w:tcPr>
            <w:tcW w:w="2145" w:type="dxa"/>
            <w:tcBorders>
              <w:top w:val="single" w:sz="12" w:space="0" w:color="008000"/>
              <w:bottom w:val="single" w:sz="6" w:space="0" w:color="008000"/>
            </w:tcBorders>
            <w:shd w:val="clear" w:color="auto" w:fill="FFFFFF"/>
          </w:tcPr>
          <w:p w14:paraId="500859EC" w14:textId="36E576E8" w:rsidR="001C657F" w:rsidRPr="001306B1" w:rsidRDefault="001C657F" w:rsidP="009A2853">
            <w:pPr>
              <w:pStyle w:val="CETBodytext"/>
              <w:jc w:val="left"/>
              <w:rPr>
                <w:lang w:val="en-GB"/>
              </w:rPr>
            </w:pPr>
            <w:r w:rsidRPr="001306B1">
              <w:rPr>
                <w:lang w:val="en-GB"/>
              </w:rPr>
              <w:t>Equipment</w:t>
            </w:r>
          </w:p>
        </w:tc>
        <w:tc>
          <w:tcPr>
            <w:tcW w:w="858" w:type="dxa"/>
            <w:tcBorders>
              <w:top w:val="single" w:sz="12" w:space="0" w:color="008000"/>
              <w:bottom w:val="single" w:sz="6" w:space="0" w:color="008000"/>
            </w:tcBorders>
            <w:shd w:val="clear" w:color="auto" w:fill="FFFFFF"/>
          </w:tcPr>
          <w:p w14:paraId="6B6E97E3" w14:textId="43E75367" w:rsidR="001C657F" w:rsidRPr="001306B1" w:rsidRDefault="001C657F" w:rsidP="001306B1">
            <w:pPr>
              <w:pStyle w:val="CETBodytext"/>
              <w:jc w:val="center"/>
              <w:rPr>
                <w:lang w:val="en-GB"/>
              </w:rPr>
            </w:pPr>
            <w:r w:rsidRPr="001306B1">
              <w:rPr>
                <w:lang w:val="en-GB"/>
              </w:rPr>
              <w:t>Process</w:t>
            </w:r>
          </w:p>
        </w:tc>
        <w:tc>
          <w:tcPr>
            <w:tcW w:w="1030" w:type="dxa"/>
            <w:tcBorders>
              <w:top w:val="single" w:sz="12" w:space="0" w:color="008000"/>
              <w:bottom w:val="single" w:sz="6" w:space="0" w:color="008000"/>
            </w:tcBorders>
            <w:shd w:val="clear" w:color="auto" w:fill="FFFFFF"/>
          </w:tcPr>
          <w:p w14:paraId="0CC5C18D" w14:textId="1DEBB737" w:rsidR="001C657F" w:rsidRPr="001306B1" w:rsidRDefault="001C657F" w:rsidP="009A2853">
            <w:pPr>
              <w:pStyle w:val="CETBodytext"/>
              <w:jc w:val="left"/>
              <w:rPr>
                <w:lang w:val="en-GB"/>
              </w:rPr>
            </w:pPr>
            <w:r w:rsidRPr="001306B1">
              <w:rPr>
                <w:lang w:val="en-GB"/>
              </w:rPr>
              <w:t xml:space="preserve">Storage </w:t>
            </w:r>
            <w:r w:rsidR="000C1E8B" w:rsidRPr="001306B1">
              <w:rPr>
                <w:lang w:val="en-GB"/>
              </w:rPr>
              <w:t>equipment</w:t>
            </w:r>
          </w:p>
        </w:tc>
        <w:tc>
          <w:tcPr>
            <w:tcW w:w="944" w:type="dxa"/>
            <w:tcBorders>
              <w:top w:val="single" w:sz="12" w:space="0" w:color="008000"/>
              <w:bottom w:val="single" w:sz="6" w:space="0" w:color="008000"/>
            </w:tcBorders>
            <w:shd w:val="clear" w:color="auto" w:fill="FFFFFF"/>
          </w:tcPr>
          <w:p w14:paraId="199EE8DC" w14:textId="28139994" w:rsidR="001C657F" w:rsidRPr="001306B1" w:rsidRDefault="001C657F" w:rsidP="009A2853">
            <w:pPr>
              <w:pStyle w:val="CETBodytext"/>
              <w:ind w:right="-1"/>
              <w:jc w:val="left"/>
              <w:rPr>
                <w:rFonts w:cs="Arial"/>
                <w:szCs w:val="18"/>
                <w:lang w:val="en-GB"/>
              </w:rPr>
            </w:pPr>
            <w:r w:rsidRPr="001306B1">
              <w:rPr>
                <w:rFonts w:cs="Arial"/>
                <w:szCs w:val="18"/>
                <w:lang w:val="en-GB"/>
              </w:rPr>
              <w:t>Pipework</w:t>
            </w:r>
          </w:p>
        </w:tc>
        <w:tc>
          <w:tcPr>
            <w:tcW w:w="1052" w:type="dxa"/>
            <w:tcBorders>
              <w:top w:val="single" w:sz="12" w:space="0" w:color="008000"/>
              <w:bottom w:val="single" w:sz="6" w:space="0" w:color="008000"/>
            </w:tcBorders>
            <w:shd w:val="clear" w:color="auto" w:fill="FFFFFF"/>
          </w:tcPr>
          <w:p w14:paraId="005800F7" w14:textId="30A7483D" w:rsidR="001C657F" w:rsidRPr="001306B1" w:rsidRDefault="001C657F" w:rsidP="009A2853">
            <w:pPr>
              <w:pStyle w:val="CETBodytext"/>
              <w:ind w:right="-1"/>
              <w:jc w:val="left"/>
              <w:rPr>
                <w:rFonts w:cs="Arial"/>
                <w:szCs w:val="18"/>
                <w:lang w:val="en-GB"/>
              </w:rPr>
            </w:pPr>
            <w:r w:rsidRPr="001306B1">
              <w:rPr>
                <w:rFonts w:cs="Arial"/>
                <w:szCs w:val="18"/>
                <w:lang w:val="en-GB"/>
              </w:rPr>
              <w:t>Electric &amp; Electronic</w:t>
            </w:r>
          </w:p>
        </w:tc>
        <w:tc>
          <w:tcPr>
            <w:tcW w:w="1008" w:type="dxa"/>
            <w:tcBorders>
              <w:top w:val="single" w:sz="12" w:space="0" w:color="008000"/>
              <w:bottom w:val="single" w:sz="6" w:space="0" w:color="008000"/>
            </w:tcBorders>
            <w:shd w:val="clear" w:color="auto" w:fill="FFFFFF"/>
          </w:tcPr>
          <w:p w14:paraId="7CC7284F" w14:textId="37B737B3" w:rsidR="001C657F" w:rsidRPr="001306B1" w:rsidRDefault="006951E6" w:rsidP="009A2853">
            <w:pPr>
              <w:pStyle w:val="CETBodytext"/>
              <w:ind w:right="-1"/>
              <w:jc w:val="left"/>
              <w:rPr>
                <w:rFonts w:cs="Arial"/>
                <w:szCs w:val="18"/>
                <w:lang w:val="en-GB"/>
              </w:rPr>
            </w:pPr>
            <w:r w:rsidRPr="001306B1">
              <w:rPr>
                <w:rFonts w:cs="Arial"/>
                <w:szCs w:val="18"/>
              </w:rPr>
              <w:t>Machinery</w:t>
            </w:r>
          </w:p>
        </w:tc>
        <w:tc>
          <w:tcPr>
            <w:tcW w:w="911" w:type="dxa"/>
            <w:tcBorders>
              <w:top w:val="single" w:sz="12" w:space="0" w:color="008000"/>
              <w:bottom w:val="single" w:sz="6" w:space="0" w:color="008000"/>
            </w:tcBorders>
            <w:shd w:val="clear" w:color="auto" w:fill="FFFFFF"/>
          </w:tcPr>
          <w:p w14:paraId="30AE2D8F" w14:textId="6580F741" w:rsidR="001C657F" w:rsidRPr="001306B1" w:rsidRDefault="006951E6" w:rsidP="009A2853">
            <w:pPr>
              <w:pStyle w:val="CETBodytext"/>
              <w:ind w:right="-1"/>
              <w:jc w:val="left"/>
              <w:rPr>
                <w:rFonts w:cs="Arial"/>
                <w:szCs w:val="18"/>
                <w:lang w:val="en-GB"/>
              </w:rPr>
            </w:pPr>
            <w:r w:rsidRPr="001306B1">
              <w:rPr>
                <w:lang w:val="en-GB"/>
              </w:rPr>
              <w:t>Flare</w:t>
            </w:r>
            <w:r w:rsidR="000C1E8B" w:rsidRPr="001306B1">
              <w:rPr>
                <w:lang w:val="en-GB"/>
              </w:rPr>
              <w:t>s</w:t>
            </w:r>
            <w:r w:rsidRPr="001306B1">
              <w:rPr>
                <w:lang w:val="en-GB"/>
              </w:rPr>
              <w:t xml:space="preserve"> &amp; Stakes</w:t>
            </w:r>
          </w:p>
        </w:tc>
        <w:tc>
          <w:tcPr>
            <w:tcW w:w="0" w:type="auto"/>
            <w:tcBorders>
              <w:top w:val="single" w:sz="12" w:space="0" w:color="008000"/>
              <w:bottom w:val="single" w:sz="6" w:space="0" w:color="008000"/>
            </w:tcBorders>
            <w:shd w:val="clear" w:color="auto" w:fill="FFFFFF"/>
          </w:tcPr>
          <w:p w14:paraId="711A1E6E" w14:textId="13DAC22E" w:rsidR="001C657F" w:rsidRPr="001306B1" w:rsidRDefault="009A2853" w:rsidP="009A2853">
            <w:pPr>
              <w:pStyle w:val="CETBodytext"/>
              <w:ind w:right="-1"/>
              <w:jc w:val="left"/>
              <w:rPr>
                <w:rFonts w:cs="Arial"/>
                <w:szCs w:val="18"/>
                <w:lang w:val="en-GB"/>
              </w:rPr>
            </w:pPr>
            <w:r w:rsidRPr="001306B1">
              <w:rPr>
                <w:rFonts w:cs="Arial"/>
                <w:szCs w:val="18"/>
                <w:lang w:val="en-GB"/>
              </w:rPr>
              <w:t>Other</w:t>
            </w:r>
          </w:p>
        </w:tc>
      </w:tr>
      <w:tr w:rsidR="00AC37BC" w:rsidRPr="00853BE4" w14:paraId="18FA68DB" w14:textId="4E93C483" w:rsidTr="00AC37BC">
        <w:trPr>
          <w:trHeight w:val="138"/>
        </w:trPr>
        <w:tc>
          <w:tcPr>
            <w:tcW w:w="2145" w:type="dxa"/>
            <w:shd w:val="clear" w:color="auto" w:fill="FFFFFF"/>
          </w:tcPr>
          <w:p w14:paraId="1877D42D" w14:textId="7A8EEC03" w:rsidR="00500FB5" w:rsidRPr="00C32EB4" w:rsidRDefault="0006794E" w:rsidP="00EF0DA1">
            <w:pPr>
              <w:pStyle w:val="CETBodytext"/>
              <w:jc w:val="left"/>
              <w:rPr>
                <w:lang w:val="en-GB"/>
              </w:rPr>
            </w:pPr>
            <w:r w:rsidRPr="00C32EB4">
              <w:rPr>
                <w:lang w:val="en-GB"/>
              </w:rPr>
              <w:t>Chemical &amp; Petrochemical</w:t>
            </w:r>
          </w:p>
        </w:tc>
        <w:tc>
          <w:tcPr>
            <w:tcW w:w="858" w:type="dxa"/>
            <w:shd w:val="clear" w:color="auto" w:fill="FFFFFF"/>
          </w:tcPr>
          <w:p w14:paraId="48136FAE" w14:textId="02C1180D" w:rsidR="00500FB5" w:rsidRPr="00853BE4" w:rsidRDefault="00082C91" w:rsidP="001306B1">
            <w:pPr>
              <w:pStyle w:val="CETBodytext"/>
              <w:jc w:val="center"/>
              <w:rPr>
                <w:lang w:val="en-GB"/>
              </w:rPr>
            </w:pPr>
            <w:r w:rsidRPr="00853BE4">
              <w:t>0.08</w:t>
            </w:r>
          </w:p>
        </w:tc>
        <w:tc>
          <w:tcPr>
            <w:tcW w:w="1030" w:type="dxa"/>
            <w:shd w:val="clear" w:color="auto" w:fill="FFFFFF"/>
          </w:tcPr>
          <w:p w14:paraId="2CB03BEE" w14:textId="069B5035" w:rsidR="00500FB5" w:rsidRPr="00853BE4" w:rsidRDefault="00B02A09" w:rsidP="00C32EB4">
            <w:pPr>
              <w:pStyle w:val="CETBodytext"/>
              <w:rPr>
                <w:lang w:val="en-GB"/>
              </w:rPr>
            </w:pPr>
            <w:r w:rsidRPr="00853BE4">
              <w:t>0.46</w:t>
            </w:r>
          </w:p>
        </w:tc>
        <w:tc>
          <w:tcPr>
            <w:tcW w:w="944" w:type="dxa"/>
            <w:shd w:val="clear" w:color="auto" w:fill="FFFFFF"/>
          </w:tcPr>
          <w:p w14:paraId="7FF7EB81" w14:textId="42FB517C" w:rsidR="00500FB5" w:rsidRPr="00853BE4" w:rsidRDefault="00B02A09" w:rsidP="00C32EB4">
            <w:pPr>
              <w:pStyle w:val="CETBodytext"/>
              <w:ind w:right="-1"/>
              <w:rPr>
                <w:rFonts w:cs="Arial"/>
                <w:szCs w:val="18"/>
                <w:lang w:val="en-GB"/>
              </w:rPr>
            </w:pPr>
            <w:r w:rsidRPr="00853BE4">
              <w:t>0.03</w:t>
            </w:r>
          </w:p>
        </w:tc>
        <w:tc>
          <w:tcPr>
            <w:tcW w:w="1052" w:type="dxa"/>
            <w:shd w:val="clear" w:color="auto" w:fill="FFFFFF"/>
          </w:tcPr>
          <w:p w14:paraId="6512B018" w14:textId="5E878F96" w:rsidR="00500FB5" w:rsidRPr="00853BE4" w:rsidRDefault="00B02A09" w:rsidP="00C32EB4">
            <w:pPr>
              <w:pStyle w:val="CETBodytext"/>
              <w:ind w:right="-1"/>
              <w:rPr>
                <w:rFonts w:cs="Arial"/>
                <w:szCs w:val="18"/>
                <w:lang w:val="en-GB"/>
              </w:rPr>
            </w:pPr>
            <w:r w:rsidRPr="00853BE4">
              <w:t>0.32</w:t>
            </w:r>
          </w:p>
        </w:tc>
        <w:tc>
          <w:tcPr>
            <w:tcW w:w="1008" w:type="dxa"/>
            <w:shd w:val="clear" w:color="auto" w:fill="FFFFFF"/>
          </w:tcPr>
          <w:p w14:paraId="54DC35B1" w14:textId="77EF4CEC" w:rsidR="00500FB5" w:rsidRPr="00853BE4" w:rsidRDefault="002A441C" w:rsidP="00C32EB4">
            <w:pPr>
              <w:pStyle w:val="CETBodytext"/>
              <w:ind w:right="-1"/>
              <w:rPr>
                <w:rFonts w:cs="Arial"/>
                <w:szCs w:val="18"/>
                <w:lang w:val="en-GB"/>
              </w:rPr>
            </w:pPr>
            <w:r w:rsidRPr="00853BE4">
              <w:t>0.07</w:t>
            </w:r>
          </w:p>
        </w:tc>
        <w:tc>
          <w:tcPr>
            <w:tcW w:w="911" w:type="dxa"/>
            <w:shd w:val="clear" w:color="auto" w:fill="FFFFFF"/>
          </w:tcPr>
          <w:p w14:paraId="2B9D779F" w14:textId="26D29583" w:rsidR="00500FB5" w:rsidRPr="00853BE4" w:rsidRDefault="002A441C" w:rsidP="00C32EB4">
            <w:pPr>
              <w:pStyle w:val="CETBodytext"/>
              <w:ind w:right="-1"/>
              <w:rPr>
                <w:rFonts w:cs="Arial"/>
                <w:szCs w:val="18"/>
                <w:lang w:val="en-GB"/>
              </w:rPr>
            </w:pPr>
            <w:r w:rsidRPr="00853BE4">
              <w:t>0.02</w:t>
            </w:r>
          </w:p>
        </w:tc>
        <w:tc>
          <w:tcPr>
            <w:tcW w:w="0" w:type="auto"/>
            <w:shd w:val="clear" w:color="auto" w:fill="FFFFFF"/>
          </w:tcPr>
          <w:p w14:paraId="15E6B115" w14:textId="6B329DA7" w:rsidR="00500FB5" w:rsidRPr="00853BE4" w:rsidRDefault="002A441C" w:rsidP="00C32EB4">
            <w:pPr>
              <w:pStyle w:val="CETBodytext"/>
              <w:ind w:right="-1"/>
              <w:rPr>
                <w:rFonts w:cs="Arial"/>
                <w:szCs w:val="18"/>
                <w:lang w:val="en-GB"/>
              </w:rPr>
            </w:pPr>
            <w:r w:rsidRPr="00853BE4">
              <w:t>0.03</w:t>
            </w:r>
          </w:p>
        </w:tc>
      </w:tr>
      <w:tr w:rsidR="00AC37BC" w:rsidRPr="00853BE4" w14:paraId="1777C522" w14:textId="04F57D37" w:rsidTr="00AC37BC">
        <w:trPr>
          <w:trHeight w:val="224"/>
        </w:trPr>
        <w:tc>
          <w:tcPr>
            <w:tcW w:w="2145" w:type="dxa"/>
            <w:shd w:val="clear" w:color="auto" w:fill="FFFFFF"/>
          </w:tcPr>
          <w:p w14:paraId="59954EC2" w14:textId="2B512C84" w:rsidR="001C657F" w:rsidRPr="00C32EB4" w:rsidRDefault="00112202" w:rsidP="00EF0DA1">
            <w:pPr>
              <w:pStyle w:val="CETBodytext"/>
              <w:ind w:right="-1"/>
              <w:jc w:val="left"/>
              <w:rPr>
                <w:rFonts w:cs="Arial"/>
                <w:szCs w:val="18"/>
                <w:lang w:val="en-GB"/>
              </w:rPr>
            </w:pPr>
            <w:r w:rsidRPr="00C32EB4">
              <w:rPr>
                <w:rFonts w:cs="Arial"/>
                <w:szCs w:val="18"/>
                <w:lang w:val="en-GB"/>
              </w:rPr>
              <w:t>Storage &amp; Warehousing</w:t>
            </w:r>
          </w:p>
        </w:tc>
        <w:tc>
          <w:tcPr>
            <w:tcW w:w="858" w:type="dxa"/>
            <w:shd w:val="clear" w:color="auto" w:fill="FFFFFF"/>
          </w:tcPr>
          <w:p w14:paraId="4FFB40F7" w14:textId="0253CD04" w:rsidR="001C657F" w:rsidRPr="00853BE4" w:rsidRDefault="008125EB" w:rsidP="001306B1">
            <w:pPr>
              <w:pStyle w:val="CETBodytext"/>
              <w:ind w:right="-1"/>
              <w:jc w:val="center"/>
              <w:rPr>
                <w:rFonts w:cs="Arial"/>
                <w:szCs w:val="18"/>
                <w:lang w:val="en-GB"/>
              </w:rPr>
            </w:pPr>
            <w:r w:rsidRPr="00853BE4">
              <w:rPr>
                <w:rFonts w:cs="Arial"/>
                <w:szCs w:val="18"/>
                <w:lang w:val="en-GB"/>
              </w:rPr>
              <w:t>0</w:t>
            </w:r>
          </w:p>
        </w:tc>
        <w:tc>
          <w:tcPr>
            <w:tcW w:w="1030" w:type="dxa"/>
            <w:shd w:val="clear" w:color="auto" w:fill="FFFFFF"/>
          </w:tcPr>
          <w:p w14:paraId="74F8316C" w14:textId="6C348911" w:rsidR="001C657F" w:rsidRPr="00853BE4" w:rsidRDefault="008125EB" w:rsidP="00C32EB4">
            <w:pPr>
              <w:pStyle w:val="CETBodytext"/>
              <w:ind w:right="-1"/>
              <w:rPr>
                <w:rFonts w:cs="Arial"/>
                <w:szCs w:val="18"/>
                <w:lang w:val="en-GB"/>
              </w:rPr>
            </w:pPr>
            <w:r w:rsidRPr="00853BE4">
              <w:rPr>
                <w:rFonts w:cs="Arial"/>
                <w:szCs w:val="18"/>
                <w:lang w:val="en-GB"/>
              </w:rPr>
              <w:t>0.79</w:t>
            </w:r>
          </w:p>
        </w:tc>
        <w:tc>
          <w:tcPr>
            <w:tcW w:w="944" w:type="dxa"/>
            <w:shd w:val="clear" w:color="auto" w:fill="FFFFFF"/>
          </w:tcPr>
          <w:p w14:paraId="708CF970" w14:textId="46814765" w:rsidR="001C657F" w:rsidRPr="00853BE4" w:rsidRDefault="008125EB" w:rsidP="00C32EB4">
            <w:pPr>
              <w:pStyle w:val="CETBodytext"/>
              <w:ind w:right="-1"/>
              <w:rPr>
                <w:rFonts w:cs="Arial"/>
                <w:szCs w:val="18"/>
                <w:lang w:val="en-GB"/>
              </w:rPr>
            </w:pPr>
            <w:r w:rsidRPr="00853BE4">
              <w:rPr>
                <w:rFonts w:cs="Arial"/>
                <w:szCs w:val="18"/>
                <w:lang w:val="en-GB"/>
              </w:rPr>
              <w:t>0.02</w:t>
            </w:r>
          </w:p>
        </w:tc>
        <w:tc>
          <w:tcPr>
            <w:tcW w:w="1052" w:type="dxa"/>
            <w:shd w:val="clear" w:color="auto" w:fill="FFFFFF"/>
          </w:tcPr>
          <w:p w14:paraId="6B4A2B9B" w14:textId="7B5DD421" w:rsidR="001C657F" w:rsidRPr="00853BE4" w:rsidRDefault="008125EB" w:rsidP="00C32EB4">
            <w:pPr>
              <w:pStyle w:val="CETBodytext"/>
              <w:ind w:right="-1"/>
              <w:rPr>
                <w:rFonts w:cs="Arial"/>
                <w:szCs w:val="18"/>
                <w:lang w:val="en-GB"/>
              </w:rPr>
            </w:pPr>
            <w:r w:rsidRPr="00853BE4">
              <w:rPr>
                <w:rFonts w:cs="Arial"/>
                <w:szCs w:val="18"/>
                <w:lang w:val="en-GB"/>
              </w:rPr>
              <w:t>0.11</w:t>
            </w:r>
          </w:p>
        </w:tc>
        <w:tc>
          <w:tcPr>
            <w:tcW w:w="1008" w:type="dxa"/>
            <w:shd w:val="clear" w:color="auto" w:fill="FFFFFF"/>
          </w:tcPr>
          <w:p w14:paraId="7571FFAE" w14:textId="41C82461" w:rsidR="001C657F" w:rsidRPr="00853BE4" w:rsidRDefault="008125EB" w:rsidP="00C32EB4">
            <w:pPr>
              <w:pStyle w:val="CETBodytext"/>
              <w:ind w:right="-1"/>
              <w:rPr>
                <w:rFonts w:cs="Arial"/>
                <w:szCs w:val="18"/>
                <w:lang w:val="en-GB"/>
              </w:rPr>
            </w:pPr>
            <w:r w:rsidRPr="00853BE4">
              <w:rPr>
                <w:rFonts w:cs="Arial"/>
                <w:szCs w:val="18"/>
                <w:lang w:val="en-GB"/>
              </w:rPr>
              <w:t>0.05</w:t>
            </w:r>
          </w:p>
        </w:tc>
        <w:tc>
          <w:tcPr>
            <w:tcW w:w="911" w:type="dxa"/>
            <w:shd w:val="clear" w:color="auto" w:fill="FFFFFF"/>
          </w:tcPr>
          <w:p w14:paraId="02EE8C16" w14:textId="03BB19D8" w:rsidR="001C657F" w:rsidRPr="00853BE4" w:rsidRDefault="00707455" w:rsidP="00C32EB4">
            <w:pPr>
              <w:pStyle w:val="CETBodytext"/>
              <w:ind w:right="-1"/>
              <w:rPr>
                <w:rFonts w:cs="Arial"/>
                <w:szCs w:val="18"/>
                <w:lang w:val="en-GB"/>
              </w:rPr>
            </w:pPr>
            <w:r w:rsidRPr="00853BE4">
              <w:rPr>
                <w:rFonts w:cs="Arial"/>
                <w:szCs w:val="18"/>
                <w:lang w:val="en-GB"/>
              </w:rPr>
              <w:t>0.01</w:t>
            </w:r>
          </w:p>
        </w:tc>
        <w:tc>
          <w:tcPr>
            <w:tcW w:w="0" w:type="auto"/>
            <w:shd w:val="clear" w:color="auto" w:fill="FFFFFF"/>
          </w:tcPr>
          <w:p w14:paraId="58D14B9F" w14:textId="2C8B9568" w:rsidR="001C657F" w:rsidRPr="00853BE4" w:rsidRDefault="00707455" w:rsidP="00C32EB4">
            <w:pPr>
              <w:pStyle w:val="CETBodytext"/>
              <w:ind w:right="-1"/>
              <w:rPr>
                <w:rFonts w:cs="Arial"/>
                <w:szCs w:val="18"/>
                <w:lang w:val="en-GB"/>
              </w:rPr>
            </w:pPr>
            <w:r w:rsidRPr="00853BE4">
              <w:rPr>
                <w:rFonts w:cs="Arial"/>
                <w:szCs w:val="18"/>
                <w:lang w:val="en-GB"/>
              </w:rPr>
              <w:t>0.01</w:t>
            </w:r>
          </w:p>
        </w:tc>
      </w:tr>
      <w:tr w:rsidR="00AC37BC" w:rsidRPr="00853BE4" w14:paraId="19FCFB45" w14:textId="77777777" w:rsidTr="00AC37BC">
        <w:trPr>
          <w:trHeight w:val="67"/>
        </w:trPr>
        <w:tc>
          <w:tcPr>
            <w:tcW w:w="2145" w:type="dxa"/>
            <w:shd w:val="clear" w:color="auto" w:fill="FFFFFF"/>
          </w:tcPr>
          <w:p w14:paraId="4F63A6A8" w14:textId="7FAD55B9" w:rsidR="002A441C" w:rsidRPr="00C32EB4" w:rsidRDefault="00863181" w:rsidP="00EF0DA1">
            <w:pPr>
              <w:pStyle w:val="CETBodytext"/>
              <w:ind w:right="-1"/>
              <w:jc w:val="left"/>
              <w:rPr>
                <w:rFonts w:cs="Arial"/>
                <w:szCs w:val="18"/>
                <w:lang w:val="en-GB"/>
              </w:rPr>
            </w:pPr>
            <w:r w:rsidRPr="00C32EB4">
              <w:rPr>
                <w:rFonts w:cs="Arial"/>
                <w:szCs w:val="18"/>
                <w:lang w:val="en-GB"/>
              </w:rPr>
              <w:t xml:space="preserve">Manufacturing </w:t>
            </w:r>
          </w:p>
        </w:tc>
        <w:tc>
          <w:tcPr>
            <w:tcW w:w="858" w:type="dxa"/>
            <w:shd w:val="clear" w:color="auto" w:fill="FFFFFF"/>
          </w:tcPr>
          <w:p w14:paraId="3CFD6C19" w14:textId="1FDC12AA" w:rsidR="002A441C" w:rsidRPr="00853BE4" w:rsidRDefault="00863181" w:rsidP="001306B1">
            <w:pPr>
              <w:pStyle w:val="CETBodytext"/>
              <w:ind w:right="-1"/>
              <w:jc w:val="center"/>
              <w:rPr>
                <w:rFonts w:cs="Arial"/>
                <w:szCs w:val="18"/>
                <w:lang w:val="en-GB"/>
              </w:rPr>
            </w:pPr>
            <w:r w:rsidRPr="00853BE4">
              <w:rPr>
                <w:rFonts w:cs="Arial"/>
                <w:szCs w:val="18"/>
                <w:lang w:val="en-GB"/>
              </w:rPr>
              <w:t>0.02</w:t>
            </w:r>
          </w:p>
        </w:tc>
        <w:tc>
          <w:tcPr>
            <w:tcW w:w="1030" w:type="dxa"/>
            <w:shd w:val="clear" w:color="auto" w:fill="FFFFFF"/>
          </w:tcPr>
          <w:p w14:paraId="6128D897" w14:textId="208CF960" w:rsidR="002A441C" w:rsidRPr="00853BE4" w:rsidRDefault="00531E8E" w:rsidP="00C32EB4">
            <w:pPr>
              <w:pStyle w:val="CETBodytext"/>
              <w:ind w:right="-1"/>
              <w:rPr>
                <w:rFonts w:cs="Arial"/>
                <w:szCs w:val="18"/>
                <w:lang w:val="en-GB"/>
              </w:rPr>
            </w:pPr>
            <w:r w:rsidRPr="00853BE4">
              <w:rPr>
                <w:rFonts w:cs="Arial"/>
                <w:szCs w:val="18"/>
                <w:lang w:val="en-GB"/>
              </w:rPr>
              <w:t>0.48</w:t>
            </w:r>
          </w:p>
        </w:tc>
        <w:tc>
          <w:tcPr>
            <w:tcW w:w="944" w:type="dxa"/>
            <w:shd w:val="clear" w:color="auto" w:fill="FFFFFF"/>
          </w:tcPr>
          <w:p w14:paraId="770A0D11" w14:textId="14E23303" w:rsidR="002A441C" w:rsidRPr="00853BE4" w:rsidRDefault="00531E8E" w:rsidP="00C32EB4">
            <w:pPr>
              <w:pStyle w:val="CETBodytext"/>
              <w:ind w:right="-1"/>
              <w:rPr>
                <w:rFonts w:cs="Arial"/>
                <w:szCs w:val="18"/>
                <w:lang w:val="en-GB"/>
              </w:rPr>
            </w:pPr>
            <w:r w:rsidRPr="00853BE4">
              <w:rPr>
                <w:rFonts w:cs="Arial"/>
                <w:szCs w:val="18"/>
                <w:lang w:val="en-GB"/>
              </w:rPr>
              <w:t>0.07</w:t>
            </w:r>
          </w:p>
        </w:tc>
        <w:tc>
          <w:tcPr>
            <w:tcW w:w="1052" w:type="dxa"/>
            <w:shd w:val="clear" w:color="auto" w:fill="FFFFFF"/>
          </w:tcPr>
          <w:p w14:paraId="57A43AD0" w14:textId="6FB1B803" w:rsidR="002A441C" w:rsidRPr="00853BE4" w:rsidRDefault="00531E8E" w:rsidP="00C32EB4">
            <w:pPr>
              <w:pStyle w:val="CETBodytext"/>
              <w:ind w:right="-1"/>
              <w:rPr>
                <w:rFonts w:cs="Arial"/>
                <w:szCs w:val="18"/>
                <w:lang w:val="en-GB"/>
              </w:rPr>
            </w:pPr>
            <w:r w:rsidRPr="00853BE4">
              <w:rPr>
                <w:rFonts w:cs="Arial"/>
                <w:szCs w:val="18"/>
                <w:lang w:val="en-GB"/>
              </w:rPr>
              <w:t>0.28</w:t>
            </w:r>
          </w:p>
        </w:tc>
        <w:tc>
          <w:tcPr>
            <w:tcW w:w="1008" w:type="dxa"/>
            <w:shd w:val="clear" w:color="auto" w:fill="FFFFFF"/>
          </w:tcPr>
          <w:p w14:paraId="52711E4B" w14:textId="60FEC910" w:rsidR="002A441C" w:rsidRPr="00853BE4" w:rsidRDefault="00531E8E" w:rsidP="00C32EB4">
            <w:pPr>
              <w:pStyle w:val="CETBodytext"/>
              <w:ind w:right="-1"/>
              <w:rPr>
                <w:rFonts w:cs="Arial"/>
                <w:szCs w:val="18"/>
                <w:lang w:val="en-GB"/>
              </w:rPr>
            </w:pPr>
            <w:r w:rsidRPr="00853BE4">
              <w:rPr>
                <w:rFonts w:cs="Arial"/>
                <w:szCs w:val="18"/>
                <w:lang w:val="en-GB"/>
              </w:rPr>
              <w:t>0.01</w:t>
            </w:r>
          </w:p>
        </w:tc>
        <w:tc>
          <w:tcPr>
            <w:tcW w:w="911" w:type="dxa"/>
            <w:shd w:val="clear" w:color="auto" w:fill="FFFFFF"/>
          </w:tcPr>
          <w:p w14:paraId="58A41031" w14:textId="62C6CF2B" w:rsidR="002A441C" w:rsidRPr="00853BE4" w:rsidRDefault="00531E8E" w:rsidP="00C32EB4">
            <w:pPr>
              <w:pStyle w:val="CETBodytext"/>
              <w:ind w:right="-1"/>
              <w:rPr>
                <w:rFonts w:cs="Arial"/>
                <w:szCs w:val="18"/>
                <w:lang w:val="en-GB"/>
              </w:rPr>
            </w:pPr>
            <w:r w:rsidRPr="00853BE4">
              <w:rPr>
                <w:rFonts w:cs="Arial"/>
                <w:szCs w:val="18"/>
                <w:lang w:val="en-GB"/>
              </w:rPr>
              <w:t>0.03</w:t>
            </w:r>
          </w:p>
        </w:tc>
        <w:tc>
          <w:tcPr>
            <w:tcW w:w="0" w:type="auto"/>
            <w:shd w:val="clear" w:color="auto" w:fill="FFFFFF"/>
          </w:tcPr>
          <w:p w14:paraId="290E05B0" w14:textId="6B32DDE1" w:rsidR="002A441C" w:rsidRPr="00853BE4" w:rsidRDefault="003402EE" w:rsidP="00C32EB4">
            <w:pPr>
              <w:pStyle w:val="CETBodytext"/>
              <w:ind w:right="-1"/>
              <w:rPr>
                <w:rFonts w:cs="Arial"/>
                <w:szCs w:val="18"/>
                <w:lang w:val="en-GB"/>
              </w:rPr>
            </w:pPr>
            <w:r w:rsidRPr="00853BE4">
              <w:rPr>
                <w:rFonts w:cs="Arial"/>
                <w:szCs w:val="18"/>
                <w:lang w:val="en-GB"/>
              </w:rPr>
              <w:t>0.11</w:t>
            </w:r>
          </w:p>
        </w:tc>
      </w:tr>
    </w:tbl>
    <w:p w14:paraId="07085A5C" w14:textId="77777777" w:rsidR="000C1E8B" w:rsidRPr="00853BE4" w:rsidRDefault="000C1E8B" w:rsidP="000C1E8B">
      <w:pPr>
        <w:pStyle w:val="CETBodytext"/>
        <w:rPr>
          <w:lang w:val="en-GB"/>
        </w:rPr>
      </w:pPr>
    </w:p>
    <w:p w14:paraId="19065399" w14:textId="37906784" w:rsidR="00534996" w:rsidRPr="000C1E8B" w:rsidRDefault="00657C41" w:rsidP="00723BF4">
      <w:pPr>
        <w:pStyle w:val="CETBodytext"/>
        <w:rPr>
          <w:lang w:val="en-GB"/>
        </w:rPr>
      </w:pPr>
      <w:r w:rsidRPr="00657C41">
        <w:rPr>
          <w:lang w:val="en-GB"/>
        </w:rPr>
        <w:t xml:space="preserve">The information in Table 1 may be useful during the assessment process for the mitigation </w:t>
      </w:r>
      <w:r w:rsidR="00C92FA7">
        <w:rPr>
          <w:lang w:val="en-GB"/>
        </w:rPr>
        <w:t xml:space="preserve">of the </w:t>
      </w:r>
      <w:r w:rsidRPr="00657C41">
        <w:rPr>
          <w:lang w:val="en-GB"/>
        </w:rPr>
        <w:t>lighting NaTech events</w:t>
      </w:r>
      <w:r w:rsidR="00C92FA7">
        <w:rPr>
          <w:lang w:val="en-GB"/>
        </w:rPr>
        <w:t xml:space="preserve"> on industrial equipment</w:t>
      </w:r>
      <w:r w:rsidR="00386F7A">
        <w:rPr>
          <w:lang w:val="en-GB"/>
        </w:rPr>
        <w:t xml:space="preserve">. Despite </w:t>
      </w:r>
      <w:r w:rsidR="00743570">
        <w:rPr>
          <w:lang w:val="en-GB"/>
        </w:rPr>
        <w:t xml:space="preserve">the three </w:t>
      </w:r>
      <w:r w:rsidR="00386F7A">
        <w:rPr>
          <w:lang w:val="en-GB"/>
        </w:rPr>
        <w:t>categories of macro-</w:t>
      </w:r>
      <w:r w:rsidR="00743570">
        <w:rPr>
          <w:lang w:val="en-GB"/>
        </w:rPr>
        <w:t xml:space="preserve">sectors </w:t>
      </w:r>
      <w:r w:rsidR="00633352">
        <w:rPr>
          <w:lang w:val="en-GB"/>
        </w:rPr>
        <w:t xml:space="preserve">compared, </w:t>
      </w:r>
      <w:r w:rsidR="00743570">
        <w:rPr>
          <w:lang w:val="en-GB"/>
        </w:rPr>
        <w:t>it can be appreciated how</w:t>
      </w:r>
      <w:r w:rsidR="00386F7A">
        <w:rPr>
          <w:lang w:val="en-GB"/>
        </w:rPr>
        <w:t xml:space="preserve"> </w:t>
      </w:r>
      <w:r w:rsidR="00B05C72">
        <w:rPr>
          <w:lang w:val="en-GB"/>
        </w:rPr>
        <w:t>“</w:t>
      </w:r>
      <w:r w:rsidR="004D66D8">
        <w:rPr>
          <w:lang w:val="en-GB"/>
        </w:rPr>
        <w:t>s</w:t>
      </w:r>
      <w:r w:rsidR="00B05C72" w:rsidRPr="00B05C72">
        <w:rPr>
          <w:lang w:val="en-GB"/>
        </w:rPr>
        <w:t>torage equipment</w:t>
      </w:r>
      <w:r w:rsidR="00B05C72">
        <w:rPr>
          <w:lang w:val="en-GB"/>
        </w:rPr>
        <w:t>”</w:t>
      </w:r>
      <w:r w:rsidR="00B05C72" w:rsidRPr="00B05C72">
        <w:rPr>
          <w:lang w:val="en-GB"/>
        </w:rPr>
        <w:t xml:space="preserve"> and </w:t>
      </w:r>
      <w:r w:rsidR="00B05C72">
        <w:rPr>
          <w:lang w:val="en-GB"/>
        </w:rPr>
        <w:t>“</w:t>
      </w:r>
      <w:r w:rsidR="004D66D8">
        <w:rPr>
          <w:lang w:val="en-GB"/>
        </w:rPr>
        <w:t>e</w:t>
      </w:r>
      <w:r w:rsidR="00B05C72" w:rsidRPr="00B05C72">
        <w:rPr>
          <w:lang w:val="en-GB"/>
        </w:rPr>
        <w:t xml:space="preserve">lectric equipment </w:t>
      </w:r>
      <w:r w:rsidR="004D66D8">
        <w:rPr>
          <w:lang w:val="en-GB"/>
        </w:rPr>
        <w:t>and</w:t>
      </w:r>
      <w:r w:rsidR="00B05C72" w:rsidRPr="00B05C72">
        <w:rPr>
          <w:lang w:val="en-GB"/>
        </w:rPr>
        <w:t xml:space="preserve"> </w:t>
      </w:r>
      <w:r w:rsidR="004D66D8">
        <w:rPr>
          <w:lang w:val="en-GB"/>
        </w:rPr>
        <w:t>e</w:t>
      </w:r>
      <w:r w:rsidR="000C1E8B" w:rsidRPr="00B05C72">
        <w:rPr>
          <w:lang w:val="en-GB"/>
        </w:rPr>
        <w:t xml:space="preserve">lectronic </w:t>
      </w:r>
      <w:r w:rsidR="00B05C72" w:rsidRPr="00B05C72">
        <w:rPr>
          <w:lang w:val="en-GB"/>
        </w:rPr>
        <w:t>devices</w:t>
      </w:r>
      <w:r w:rsidR="00B05C72">
        <w:rPr>
          <w:lang w:val="en-GB"/>
        </w:rPr>
        <w:t>”</w:t>
      </w:r>
      <w:r w:rsidR="00B05C72" w:rsidRPr="00B05C72">
        <w:rPr>
          <w:lang w:val="en-GB"/>
        </w:rPr>
        <w:t xml:space="preserve"> comprise the industrial items most susceptible to lightning strikes. </w:t>
      </w:r>
      <w:r w:rsidR="00C92FA7">
        <w:rPr>
          <w:lang w:val="en-GB"/>
        </w:rPr>
        <w:t xml:space="preserve">In </w:t>
      </w:r>
      <w:r w:rsidR="00AA6DB6">
        <w:rPr>
          <w:lang w:val="en-GB"/>
        </w:rPr>
        <w:t xml:space="preserve">addition, </w:t>
      </w:r>
      <w:r w:rsidR="00C92FA7">
        <w:rPr>
          <w:lang w:val="en-GB"/>
        </w:rPr>
        <w:t>Table 2</w:t>
      </w:r>
      <w:r w:rsidR="00AA6DB6">
        <w:rPr>
          <w:lang w:val="en-GB"/>
        </w:rPr>
        <w:t xml:space="preserve"> </w:t>
      </w:r>
      <w:r w:rsidR="0004666F" w:rsidRPr="0004666F">
        <w:rPr>
          <w:lang w:val="en-GB"/>
        </w:rPr>
        <w:t>show</w:t>
      </w:r>
      <w:r w:rsidR="00930F72">
        <w:rPr>
          <w:lang w:val="en-GB"/>
        </w:rPr>
        <w:t>s</w:t>
      </w:r>
      <w:r w:rsidR="0004666F" w:rsidRPr="0004666F">
        <w:rPr>
          <w:lang w:val="en-GB"/>
        </w:rPr>
        <w:t xml:space="preserve"> </w:t>
      </w:r>
      <w:r w:rsidR="00930F72">
        <w:rPr>
          <w:lang w:val="en-GB"/>
        </w:rPr>
        <w:t>further</w:t>
      </w:r>
      <w:r w:rsidR="00551034">
        <w:rPr>
          <w:lang w:val="en-GB"/>
        </w:rPr>
        <w:t xml:space="preserve"> interplays</w:t>
      </w:r>
      <w:r w:rsidR="00C202EF">
        <w:rPr>
          <w:lang w:val="en-GB"/>
        </w:rPr>
        <w:t xml:space="preserve"> </w:t>
      </w:r>
      <w:r w:rsidR="00B663DB">
        <w:rPr>
          <w:lang w:val="en-GB"/>
        </w:rPr>
        <w:t>between</w:t>
      </w:r>
      <w:r w:rsidR="00B05C72" w:rsidRPr="00B05C72">
        <w:rPr>
          <w:lang w:val="en-GB"/>
        </w:rPr>
        <w:t xml:space="preserve"> the probabilities of final scenarios</w:t>
      </w:r>
      <w:r w:rsidR="00B43C9C">
        <w:rPr>
          <w:lang w:val="en-GB"/>
        </w:rPr>
        <w:t xml:space="preserve"> </w:t>
      </w:r>
      <w:r w:rsidR="00666D79">
        <w:rPr>
          <w:lang w:val="en-GB"/>
        </w:rPr>
        <w:t xml:space="preserve">for </w:t>
      </w:r>
      <w:r w:rsidR="00B43C9C">
        <w:rPr>
          <w:lang w:val="en-GB"/>
        </w:rPr>
        <w:t>these two</w:t>
      </w:r>
      <w:r w:rsidR="00587C93">
        <w:rPr>
          <w:lang w:val="en-GB"/>
        </w:rPr>
        <w:t xml:space="preserve"> critical</w:t>
      </w:r>
      <w:r w:rsidR="00B43C9C" w:rsidRPr="00B05C72">
        <w:rPr>
          <w:lang w:val="en-GB"/>
        </w:rPr>
        <w:t xml:space="preserve"> </w:t>
      </w:r>
      <w:r w:rsidR="00551034">
        <w:rPr>
          <w:lang w:val="en-GB"/>
        </w:rPr>
        <w:t xml:space="preserve">equipment </w:t>
      </w:r>
      <w:r w:rsidR="00B43C9C" w:rsidRPr="00B05C72">
        <w:rPr>
          <w:lang w:val="en-GB"/>
        </w:rPr>
        <w:t>categories</w:t>
      </w:r>
      <w:r w:rsidR="00B43C9C">
        <w:rPr>
          <w:lang w:val="en-GB"/>
        </w:rPr>
        <w:t xml:space="preserve"> </w:t>
      </w:r>
      <w:r w:rsidR="00DD2D85">
        <w:rPr>
          <w:lang w:val="en-GB"/>
        </w:rPr>
        <w:t xml:space="preserve">(data from </w:t>
      </w:r>
      <w:r w:rsidR="00B05C72" w:rsidRPr="00B05C72">
        <w:rPr>
          <w:lang w:val="en-GB"/>
        </w:rPr>
        <w:t xml:space="preserve">historical </w:t>
      </w:r>
      <w:r w:rsidR="00DD2D85" w:rsidRPr="00B05C72">
        <w:rPr>
          <w:lang w:val="en-GB"/>
        </w:rPr>
        <w:t>analysis</w:t>
      </w:r>
      <w:r w:rsidR="00F82F37">
        <w:rPr>
          <w:lang w:val="en-GB"/>
        </w:rPr>
        <w:t>).</w:t>
      </w:r>
    </w:p>
    <w:p w14:paraId="57722A04" w14:textId="56599C98" w:rsidR="00BB65F4" w:rsidRPr="00B57B36" w:rsidRDefault="00BB65F4" w:rsidP="00BB65F4">
      <w:pPr>
        <w:pStyle w:val="CETTabletitle"/>
      </w:pPr>
      <w:r w:rsidRPr="00B57B36">
        <w:t xml:space="preserve">Table </w:t>
      </w:r>
      <w:r>
        <w:t>2</w:t>
      </w:r>
      <w:r w:rsidRPr="00B57B36">
        <w:t xml:space="preserve">: </w:t>
      </w:r>
      <w:r>
        <w:t>C</w:t>
      </w:r>
      <w:r w:rsidRPr="0045482E">
        <w:t xml:space="preserve">onditional probabilities for </w:t>
      </w:r>
      <w:r w:rsidR="006D721F">
        <w:t>technological scenarios</w:t>
      </w:r>
      <w:r w:rsidRPr="0045482E">
        <w:t xml:space="preserve"> given </w:t>
      </w:r>
      <w:r>
        <w:t xml:space="preserve">the </w:t>
      </w:r>
      <w:r w:rsidR="00955BC3">
        <w:t>failure of the</w:t>
      </w:r>
      <w:r>
        <w:t xml:space="preserve"> </w:t>
      </w:r>
      <w:r w:rsidR="00955BC3">
        <w:t>vulnerable equipment against lightning strikes.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20"/>
        <w:gridCol w:w="540"/>
        <w:gridCol w:w="810"/>
        <w:gridCol w:w="1357"/>
        <w:gridCol w:w="1074"/>
        <w:gridCol w:w="1255"/>
        <w:gridCol w:w="771"/>
      </w:tblGrid>
      <w:tr w:rsidR="00AC37BC" w:rsidRPr="00B57B36" w14:paraId="1E1BF7A7" w14:textId="77777777" w:rsidTr="00AC37BC">
        <w:trPr>
          <w:trHeight w:val="493"/>
        </w:trPr>
        <w:tc>
          <w:tcPr>
            <w:tcW w:w="1620" w:type="dxa"/>
            <w:tcBorders>
              <w:top w:val="single" w:sz="12" w:space="0" w:color="008000"/>
              <w:bottom w:val="single" w:sz="6" w:space="0" w:color="008000"/>
            </w:tcBorders>
            <w:shd w:val="clear" w:color="auto" w:fill="FFFFFF"/>
          </w:tcPr>
          <w:p w14:paraId="51C2CE51" w14:textId="77777777" w:rsidR="00167E71" w:rsidRPr="001306B1" w:rsidRDefault="00167E71" w:rsidP="001306B1">
            <w:pPr>
              <w:pStyle w:val="CETBodytext"/>
              <w:spacing w:line="240" w:lineRule="auto"/>
              <w:jc w:val="left"/>
              <w:rPr>
                <w:lang w:val="en-GB"/>
              </w:rPr>
            </w:pPr>
            <w:r w:rsidRPr="001306B1">
              <w:rPr>
                <w:lang w:val="en-GB"/>
              </w:rPr>
              <w:t>Equipment</w:t>
            </w:r>
          </w:p>
        </w:tc>
        <w:tc>
          <w:tcPr>
            <w:tcW w:w="540" w:type="dxa"/>
            <w:tcBorders>
              <w:top w:val="single" w:sz="12" w:space="0" w:color="008000"/>
              <w:bottom w:val="single" w:sz="6" w:space="0" w:color="008000"/>
            </w:tcBorders>
            <w:shd w:val="clear" w:color="auto" w:fill="FFFFFF"/>
          </w:tcPr>
          <w:p w14:paraId="3971E4B9" w14:textId="36FEA2D1" w:rsidR="00167E71" w:rsidRPr="001306B1" w:rsidRDefault="00167E71" w:rsidP="001306B1">
            <w:pPr>
              <w:pStyle w:val="CETBodytext"/>
              <w:spacing w:line="240" w:lineRule="auto"/>
              <w:jc w:val="center"/>
              <w:rPr>
                <w:lang w:val="en-GB"/>
              </w:rPr>
            </w:pPr>
            <w:r w:rsidRPr="001306B1">
              <w:rPr>
                <w:lang w:val="en-GB"/>
              </w:rPr>
              <w:t>Fire</w:t>
            </w:r>
          </w:p>
        </w:tc>
        <w:tc>
          <w:tcPr>
            <w:tcW w:w="810" w:type="dxa"/>
            <w:tcBorders>
              <w:top w:val="single" w:sz="12" w:space="0" w:color="008000"/>
              <w:bottom w:val="single" w:sz="6" w:space="0" w:color="008000"/>
            </w:tcBorders>
            <w:shd w:val="clear" w:color="auto" w:fill="FFFFFF"/>
          </w:tcPr>
          <w:p w14:paraId="61606B3E" w14:textId="593ED347" w:rsidR="00167E71" w:rsidRPr="001306B1" w:rsidRDefault="00167E71" w:rsidP="001306B1">
            <w:pPr>
              <w:pStyle w:val="CETBodytext"/>
              <w:spacing w:line="240" w:lineRule="auto"/>
              <w:jc w:val="left"/>
              <w:rPr>
                <w:lang w:val="en-GB"/>
              </w:rPr>
            </w:pPr>
            <w:r w:rsidRPr="001306B1">
              <w:rPr>
                <w:lang w:val="en-GB"/>
              </w:rPr>
              <w:t>Explosion</w:t>
            </w:r>
          </w:p>
        </w:tc>
        <w:tc>
          <w:tcPr>
            <w:tcW w:w="1357" w:type="dxa"/>
            <w:tcBorders>
              <w:top w:val="single" w:sz="12" w:space="0" w:color="008000"/>
              <w:bottom w:val="single" w:sz="6" w:space="0" w:color="008000"/>
            </w:tcBorders>
            <w:shd w:val="clear" w:color="auto" w:fill="FFFFFF"/>
          </w:tcPr>
          <w:p w14:paraId="55EAF379" w14:textId="77777777" w:rsidR="00AC37BC" w:rsidRDefault="00167E71" w:rsidP="001306B1">
            <w:pPr>
              <w:pStyle w:val="CETBodytext"/>
              <w:spacing w:line="240" w:lineRule="auto"/>
              <w:ind w:right="-1"/>
              <w:jc w:val="left"/>
              <w:rPr>
                <w:rFonts w:cs="Arial"/>
                <w:szCs w:val="18"/>
                <w:lang w:val="en-GB"/>
              </w:rPr>
            </w:pPr>
            <w:r w:rsidRPr="001306B1">
              <w:rPr>
                <w:rFonts w:cs="Arial"/>
                <w:szCs w:val="18"/>
                <w:lang w:val="en-GB"/>
              </w:rPr>
              <w:t xml:space="preserve">Release without </w:t>
            </w:r>
          </w:p>
          <w:p w14:paraId="4AFF01CA" w14:textId="3A75D7F7" w:rsidR="00167E71" w:rsidRPr="001306B1" w:rsidRDefault="00167E71" w:rsidP="001306B1">
            <w:pPr>
              <w:pStyle w:val="CETBodytext"/>
              <w:spacing w:line="240" w:lineRule="auto"/>
              <w:ind w:right="-1"/>
              <w:jc w:val="left"/>
              <w:rPr>
                <w:rFonts w:cs="Arial"/>
                <w:szCs w:val="18"/>
                <w:lang w:val="en-GB"/>
              </w:rPr>
            </w:pPr>
            <w:r w:rsidRPr="001306B1">
              <w:rPr>
                <w:rFonts w:cs="Arial"/>
                <w:szCs w:val="18"/>
                <w:lang w:val="en-GB"/>
              </w:rPr>
              <w:t>consequences</w:t>
            </w:r>
          </w:p>
        </w:tc>
        <w:tc>
          <w:tcPr>
            <w:tcW w:w="1074" w:type="dxa"/>
            <w:tcBorders>
              <w:top w:val="single" w:sz="12" w:space="0" w:color="008000"/>
              <w:bottom w:val="single" w:sz="6" w:space="0" w:color="008000"/>
            </w:tcBorders>
            <w:shd w:val="clear" w:color="auto" w:fill="FFFFFF"/>
          </w:tcPr>
          <w:p w14:paraId="7B91FA31" w14:textId="77777777" w:rsidR="00AC37BC" w:rsidRDefault="00167E71" w:rsidP="001306B1">
            <w:pPr>
              <w:pStyle w:val="CETBodytext"/>
              <w:spacing w:line="240" w:lineRule="auto"/>
              <w:ind w:right="-1"/>
              <w:jc w:val="left"/>
              <w:rPr>
                <w:rFonts w:cs="Arial"/>
                <w:szCs w:val="18"/>
                <w:lang w:val="en-GB"/>
              </w:rPr>
            </w:pPr>
            <w:r w:rsidRPr="001306B1">
              <w:rPr>
                <w:rFonts w:cs="Arial"/>
                <w:szCs w:val="18"/>
                <w:lang w:val="en-GB"/>
              </w:rPr>
              <w:t xml:space="preserve">Toxic gas </w:t>
            </w:r>
          </w:p>
          <w:p w14:paraId="33F47B2D" w14:textId="189DDF73" w:rsidR="00167E71" w:rsidRPr="001306B1" w:rsidRDefault="00167E71" w:rsidP="001306B1">
            <w:pPr>
              <w:pStyle w:val="CETBodytext"/>
              <w:spacing w:line="240" w:lineRule="auto"/>
              <w:ind w:right="-1"/>
              <w:jc w:val="left"/>
              <w:rPr>
                <w:rFonts w:cs="Arial"/>
                <w:szCs w:val="18"/>
                <w:lang w:val="en-GB"/>
              </w:rPr>
            </w:pPr>
            <w:r w:rsidRPr="001306B1">
              <w:rPr>
                <w:rFonts w:cs="Arial"/>
                <w:szCs w:val="18"/>
                <w:lang w:val="en-GB"/>
              </w:rPr>
              <w:t>dispersion</w:t>
            </w:r>
          </w:p>
        </w:tc>
        <w:tc>
          <w:tcPr>
            <w:tcW w:w="1255" w:type="dxa"/>
            <w:tcBorders>
              <w:top w:val="single" w:sz="12" w:space="0" w:color="008000"/>
              <w:bottom w:val="single" w:sz="6" w:space="0" w:color="008000"/>
            </w:tcBorders>
            <w:shd w:val="clear" w:color="auto" w:fill="FFFFFF"/>
          </w:tcPr>
          <w:p w14:paraId="642D6028" w14:textId="595466E0" w:rsidR="00167E71" w:rsidRPr="001306B1" w:rsidRDefault="00167E71" w:rsidP="001306B1">
            <w:pPr>
              <w:pStyle w:val="CETBodytext"/>
              <w:spacing w:line="240" w:lineRule="auto"/>
              <w:ind w:right="-1"/>
              <w:jc w:val="left"/>
              <w:rPr>
                <w:rFonts w:cs="Arial"/>
                <w:szCs w:val="18"/>
                <w:lang w:val="en-GB"/>
              </w:rPr>
            </w:pPr>
            <w:r w:rsidRPr="001306B1">
              <w:rPr>
                <w:rFonts w:cs="Arial"/>
                <w:szCs w:val="18"/>
              </w:rPr>
              <w:t>Environmental contamination</w:t>
            </w:r>
          </w:p>
        </w:tc>
        <w:tc>
          <w:tcPr>
            <w:tcW w:w="771" w:type="dxa"/>
            <w:tcBorders>
              <w:top w:val="single" w:sz="12" w:space="0" w:color="008000"/>
              <w:bottom w:val="single" w:sz="6" w:space="0" w:color="008000"/>
            </w:tcBorders>
            <w:shd w:val="clear" w:color="auto" w:fill="FFFFFF"/>
          </w:tcPr>
          <w:p w14:paraId="07BCE112" w14:textId="6946F5C8" w:rsidR="00167E71" w:rsidRPr="001306B1" w:rsidRDefault="00167E71" w:rsidP="001306B1">
            <w:pPr>
              <w:pStyle w:val="CETBodytext"/>
              <w:spacing w:line="240" w:lineRule="auto"/>
              <w:jc w:val="left"/>
              <w:rPr>
                <w:rFonts w:cs="Arial"/>
                <w:szCs w:val="18"/>
                <w:lang w:val="en-GB"/>
              </w:rPr>
            </w:pPr>
            <w:r w:rsidRPr="001306B1">
              <w:rPr>
                <w:lang w:val="en-GB"/>
              </w:rPr>
              <w:t>Multiple scenario</w:t>
            </w:r>
            <w:r w:rsidR="00B663DB" w:rsidRPr="001306B1">
              <w:rPr>
                <w:lang w:val="en-GB"/>
              </w:rPr>
              <w:t>s</w:t>
            </w:r>
          </w:p>
        </w:tc>
      </w:tr>
      <w:tr w:rsidR="00AC37BC" w:rsidRPr="00B57B36" w14:paraId="48B862B8" w14:textId="77777777" w:rsidTr="001306B1">
        <w:trPr>
          <w:trHeight w:hRule="exact" w:val="271"/>
        </w:trPr>
        <w:tc>
          <w:tcPr>
            <w:tcW w:w="1620" w:type="dxa"/>
            <w:shd w:val="clear" w:color="auto" w:fill="FFFFFF"/>
          </w:tcPr>
          <w:p w14:paraId="31F8803C" w14:textId="260C7656" w:rsidR="00B7792C" w:rsidRPr="00A63B94" w:rsidRDefault="00167E71" w:rsidP="001306B1">
            <w:pPr>
              <w:pStyle w:val="CETBodytext"/>
              <w:spacing w:line="240" w:lineRule="auto"/>
              <w:rPr>
                <w:lang w:val="en-GB"/>
              </w:rPr>
            </w:pPr>
            <w:r w:rsidRPr="00A63B94">
              <w:rPr>
                <w:lang w:val="en-GB"/>
              </w:rPr>
              <w:t>Storage Equipment</w:t>
            </w:r>
          </w:p>
        </w:tc>
        <w:tc>
          <w:tcPr>
            <w:tcW w:w="540" w:type="dxa"/>
            <w:shd w:val="clear" w:color="auto" w:fill="FFFFFF"/>
          </w:tcPr>
          <w:p w14:paraId="255C4AFA" w14:textId="700213EB" w:rsidR="00167E71" w:rsidRPr="00B57B36" w:rsidRDefault="008E34CA" w:rsidP="001306B1">
            <w:pPr>
              <w:pStyle w:val="CETBodytext"/>
              <w:spacing w:line="240" w:lineRule="auto"/>
              <w:jc w:val="center"/>
              <w:rPr>
                <w:lang w:val="en-GB"/>
              </w:rPr>
            </w:pPr>
            <w:r w:rsidRPr="008E34CA">
              <w:rPr>
                <w:lang w:val="en-GB"/>
              </w:rPr>
              <w:t>0.49</w:t>
            </w:r>
          </w:p>
        </w:tc>
        <w:tc>
          <w:tcPr>
            <w:tcW w:w="810" w:type="dxa"/>
            <w:shd w:val="clear" w:color="auto" w:fill="FFFFFF"/>
          </w:tcPr>
          <w:p w14:paraId="60B50FBE" w14:textId="1FE74F51" w:rsidR="00167E71" w:rsidRPr="00B57B36" w:rsidRDefault="008E34CA" w:rsidP="001306B1">
            <w:pPr>
              <w:pStyle w:val="CETBodytext"/>
              <w:spacing w:line="240" w:lineRule="auto"/>
              <w:jc w:val="center"/>
              <w:rPr>
                <w:lang w:val="en-GB"/>
              </w:rPr>
            </w:pPr>
            <w:r w:rsidRPr="008E34CA">
              <w:rPr>
                <w:lang w:val="en-GB"/>
              </w:rPr>
              <w:t>0.05</w:t>
            </w:r>
          </w:p>
        </w:tc>
        <w:tc>
          <w:tcPr>
            <w:tcW w:w="1357" w:type="dxa"/>
            <w:shd w:val="clear" w:color="auto" w:fill="FFFFFF"/>
          </w:tcPr>
          <w:p w14:paraId="1D29CB56" w14:textId="1DF0AA8C" w:rsidR="00167E71" w:rsidRPr="00B57B36" w:rsidRDefault="00165772" w:rsidP="001306B1">
            <w:pPr>
              <w:pStyle w:val="CETBodytext"/>
              <w:spacing w:line="240" w:lineRule="auto"/>
              <w:ind w:right="-1"/>
              <w:jc w:val="center"/>
              <w:rPr>
                <w:rFonts w:cs="Arial"/>
                <w:szCs w:val="18"/>
                <w:lang w:val="en-GB"/>
              </w:rPr>
            </w:pPr>
            <w:r w:rsidRPr="00165772">
              <w:rPr>
                <w:rFonts w:cs="Arial"/>
                <w:szCs w:val="18"/>
                <w:lang w:val="en-GB"/>
              </w:rPr>
              <w:t>0.15</w:t>
            </w:r>
          </w:p>
        </w:tc>
        <w:tc>
          <w:tcPr>
            <w:tcW w:w="1074" w:type="dxa"/>
            <w:shd w:val="clear" w:color="auto" w:fill="FFFFFF"/>
          </w:tcPr>
          <w:p w14:paraId="676A5784" w14:textId="071897F4" w:rsidR="00167E71" w:rsidRPr="00B57B36" w:rsidRDefault="00165772" w:rsidP="001306B1">
            <w:pPr>
              <w:pStyle w:val="CETBodytext"/>
              <w:spacing w:line="240" w:lineRule="auto"/>
              <w:ind w:right="-1"/>
              <w:jc w:val="center"/>
              <w:rPr>
                <w:rFonts w:cs="Arial"/>
                <w:szCs w:val="18"/>
                <w:lang w:val="en-GB"/>
              </w:rPr>
            </w:pPr>
            <w:r w:rsidRPr="00165772">
              <w:rPr>
                <w:rFonts w:cs="Arial"/>
                <w:szCs w:val="18"/>
                <w:lang w:val="en-GB"/>
              </w:rPr>
              <w:t>0.00</w:t>
            </w:r>
          </w:p>
        </w:tc>
        <w:tc>
          <w:tcPr>
            <w:tcW w:w="1255" w:type="dxa"/>
            <w:shd w:val="clear" w:color="auto" w:fill="FFFFFF"/>
          </w:tcPr>
          <w:p w14:paraId="75AC4269" w14:textId="3758FC21" w:rsidR="00167E71" w:rsidRPr="00B57B36" w:rsidRDefault="00165772" w:rsidP="001306B1">
            <w:pPr>
              <w:pStyle w:val="CETBodytext"/>
              <w:spacing w:line="240" w:lineRule="auto"/>
              <w:ind w:right="-1"/>
              <w:jc w:val="center"/>
              <w:rPr>
                <w:rFonts w:cs="Arial"/>
                <w:szCs w:val="18"/>
                <w:lang w:val="en-GB"/>
              </w:rPr>
            </w:pPr>
            <w:r w:rsidRPr="00165772">
              <w:rPr>
                <w:rFonts w:cs="Arial"/>
                <w:szCs w:val="18"/>
                <w:lang w:val="en-GB"/>
              </w:rPr>
              <w:t>0.13</w:t>
            </w:r>
          </w:p>
        </w:tc>
        <w:tc>
          <w:tcPr>
            <w:tcW w:w="771" w:type="dxa"/>
            <w:shd w:val="clear" w:color="auto" w:fill="FFFFFF"/>
          </w:tcPr>
          <w:p w14:paraId="6C7C9FB7" w14:textId="0C86D6C8" w:rsidR="00167E71" w:rsidRPr="00B57B36" w:rsidRDefault="00165772" w:rsidP="001306B1">
            <w:pPr>
              <w:pStyle w:val="CETBodytext"/>
              <w:spacing w:line="240" w:lineRule="auto"/>
              <w:ind w:right="-1"/>
              <w:jc w:val="center"/>
              <w:rPr>
                <w:rFonts w:cs="Arial"/>
                <w:szCs w:val="18"/>
                <w:lang w:val="en-GB"/>
              </w:rPr>
            </w:pPr>
            <w:r w:rsidRPr="00165772">
              <w:rPr>
                <w:rFonts w:cs="Arial"/>
                <w:szCs w:val="18"/>
                <w:lang w:val="en-GB"/>
              </w:rPr>
              <w:t>0.18</w:t>
            </w:r>
          </w:p>
        </w:tc>
      </w:tr>
      <w:tr w:rsidR="00AC37BC" w:rsidRPr="00B57B36" w14:paraId="2133F0E2" w14:textId="77777777" w:rsidTr="001306B1">
        <w:trPr>
          <w:trHeight w:hRule="exact" w:val="310"/>
        </w:trPr>
        <w:tc>
          <w:tcPr>
            <w:tcW w:w="1620" w:type="dxa"/>
            <w:shd w:val="clear" w:color="auto" w:fill="FFFFFF"/>
          </w:tcPr>
          <w:p w14:paraId="64AFFFDD" w14:textId="31353AE8" w:rsidR="00167E71" w:rsidRPr="00A63B94" w:rsidRDefault="00167E71" w:rsidP="001306B1">
            <w:pPr>
              <w:pStyle w:val="CETBodytext"/>
              <w:spacing w:line="240" w:lineRule="auto"/>
              <w:ind w:right="-1"/>
              <w:jc w:val="left"/>
              <w:rPr>
                <w:rFonts w:cs="Arial"/>
                <w:szCs w:val="18"/>
                <w:lang w:val="en-GB"/>
              </w:rPr>
            </w:pPr>
            <w:r w:rsidRPr="00A63B94">
              <w:rPr>
                <w:rFonts w:cs="Arial"/>
                <w:szCs w:val="18"/>
                <w:lang w:val="en-GB"/>
              </w:rPr>
              <w:t>Electric &amp; Electronic</w:t>
            </w:r>
          </w:p>
        </w:tc>
        <w:tc>
          <w:tcPr>
            <w:tcW w:w="540" w:type="dxa"/>
            <w:shd w:val="clear" w:color="auto" w:fill="FFFFFF"/>
          </w:tcPr>
          <w:p w14:paraId="4EF7A504" w14:textId="62AE3FD0" w:rsidR="00167E71" w:rsidRPr="00B57B36" w:rsidRDefault="001D207D" w:rsidP="001306B1">
            <w:pPr>
              <w:pStyle w:val="CETBodytext"/>
              <w:spacing w:line="240" w:lineRule="auto"/>
              <w:ind w:right="-1"/>
              <w:jc w:val="center"/>
              <w:rPr>
                <w:rFonts w:cs="Arial"/>
                <w:szCs w:val="18"/>
                <w:lang w:val="en-GB"/>
              </w:rPr>
            </w:pPr>
            <w:r w:rsidRPr="001D207D">
              <w:rPr>
                <w:rFonts w:cs="Arial"/>
                <w:szCs w:val="18"/>
                <w:lang w:val="en-GB"/>
              </w:rPr>
              <w:t>0.08</w:t>
            </w:r>
          </w:p>
        </w:tc>
        <w:tc>
          <w:tcPr>
            <w:tcW w:w="810" w:type="dxa"/>
            <w:shd w:val="clear" w:color="auto" w:fill="FFFFFF"/>
          </w:tcPr>
          <w:p w14:paraId="0D825B3B" w14:textId="4B74A504" w:rsidR="00167E71" w:rsidRPr="00B57B36" w:rsidRDefault="001D207D" w:rsidP="001306B1">
            <w:pPr>
              <w:pStyle w:val="CETBodytext"/>
              <w:spacing w:line="240" w:lineRule="auto"/>
              <w:ind w:right="-1"/>
              <w:jc w:val="center"/>
              <w:rPr>
                <w:rFonts w:cs="Arial"/>
                <w:szCs w:val="18"/>
                <w:lang w:val="en-GB"/>
              </w:rPr>
            </w:pPr>
            <w:r w:rsidRPr="001D207D">
              <w:rPr>
                <w:rFonts w:cs="Arial"/>
                <w:szCs w:val="18"/>
                <w:lang w:val="en-GB"/>
              </w:rPr>
              <w:t>0.01</w:t>
            </w:r>
          </w:p>
        </w:tc>
        <w:tc>
          <w:tcPr>
            <w:tcW w:w="1357" w:type="dxa"/>
            <w:shd w:val="clear" w:color="auto" w:fill="FFFFFF"/>
          </w:tcPr>
          <w:p w14:paraId="5CF29291" w14:textId="72D14FE4" w:rsidR="00167E71" w:rsidRPr="00B57B36" w:rsidRDefault="001D207D" w:rsidP="001306B1">
            <w:pPr>
              <w:pStyle w:val="CETBodytext"/>
              <w:spacing w:line="240" w:lineRule="auto"/>
              <w:ind w:right="-1"/>
              <w:jc w:val="center"/>
              <w:rPr>
                <w:rFonts w:cs="Arial"/>
                <w:szCs w:val="18"/>
                <w:lang w:val="en-GB"/>
              </w:rPr>
            </w:pPr>
            <w:r w:rsidRPr="001D207D">
              <w:rPr>
                <w:rFonts w:cs="Arial"/>
                <w:szCs w:val="18"/>
                <w:lang w:val="en-GB"/>
              </w:rPr>
              <w:t>0.52</w:t>
            </w:r>
          </w:p>
        </w:tc>
        <w:tc>
          <w:tcPr>
            <w:tcW w:w="1074" w:type="dxa"/>
            <w:shd w:val="clear" w:color="auto" w:fill="FFFFFF"/>
          </w:tcPr>
          <w:p w14:paraId="60ED9DFD" w14:textId="5424D93F" w:rsidR="00167E71" w:rsidRPr="00B57B36" w:rsidRDefault="001D207D" w:rsidP="001306B1">
            <w:pPr>
              <w:pStyle w:val="CETBodytext"/>
              <w:spacing w:line="240" w:lineRule="auto"/>
              <w:ind w:right="-1"/>
              <w:jc w:val="center"/>
              <w:rPr>
                <w:rFonts w:cs="Arial"/>
                <w:szCs w:val="18"/>
                <w:lang w:val="en-GB"/>
              </w:rPr>
            </w:pPr>
            <w:r w:rsidRPr="001D207D">
              <w:rPr>
                <w:rFonts w:cs="Arial"/>
                <w:szCs w:val="18"/>
                <w:lang w:val="en-GB"/>
              </w:rPr>
              <w:t>0.02</w:t>
            </w:r>
          </w:p>
        </w:tc>
        <w:tc>
          <w:tcPr>
            <w:tcW w:w="1255" w:type="dxa"/>
            <w:shd w:val="clear" w:color="auto" w:fill="FFFFFF"/>
          </w:tcPr>
          <w:p w14:paraId="16D2E088" w14:textId="49E10F66" w:rsidR="00167E71" w:rsidRPr="00B57B36" w:rsidRDefault="0025499B" w:rsidP="001306B1">
            <w:pPr>
              <w:pStyle w:val="CETBodytext"/>
              <w:spacing w:line="240" w:lineRule="auto"/>
              <w:ind w:right="-1"/>
              <w:jc w:val="center"/>
              <w:rPr>
                <w:rFonts w:cs="Arial"/>
                <w:szCs w:val="18"/>
                <w:lang w:val="en-GB"/>
              </w:rPr>
            </w:pPr>
            <w:r w:rsidRPr="0025499B">
              <w:rPr>
                <w:rFonts w:cs="Arial"/>
                <w:szCs w:val="18"/>
                <w:lang w:val="en-GB"/>
              </w:rPr>
              <w:t>0.32</w:t>
            </w:r>
          </w:p>
        </w:tc>
        <w:tc>
          <w:tcPr>
            <w:tcW w:w="771" w:type="dxa"/>
            <w:shd w:val="clear" w:color="auto" w:fill="FFFFFF"/>
          </w:tcPr>
          <w:p w14:paraId="32FC9148" w14:textId="3FDA122C" w:rsidR="00167E71" w:rsidRPr="00B57B36" w:rsidRDefault="0025499B" w:rsidP="001306B1">
            <w:pPr>
              <w:pStyle w:val="CETBodytext"/>
              <w:spacing w:line="240" w:lineRule="auto"/>
              <w:ind w:right="-1"/>
              <w:jc w:val="center"/>
              <w:rPr>
                <w:rFonts w:cs="Arial"/>
                <w:szCs w:val="18"/>
                <w:lang w:val="en-GB"/>
              </w:rPr>
            </w:pPr>
            <w:r w:rsidRPr="0025499B">
              <w:rPr>
                <w:rFonts w:cs="Arial"/>
                <w:szCs w:val="18"/>
                <w:lang w:val="en-GB"/>
              </w:rPr>
              <w:t>0.05</w:t>
            </w:r>
          </w:p>
        </w:tc>
      </w:tr>
    </w:tbl>
    <w:p w14:paraId="4C5F6BF9" w14:textId="37B19E9E" w:rsidR="00A36DF4" w:rsidRDefault="00B43C9C" w:rsidP="00F82F37">
      <w:pPr>
        <w:pStyle w:val="CETBodytext"/>
        <w:spacing w:before="240"/>
        <w:rPr>
          <w:lang w:val="en-GB"/>
        </w:rPr>
      </w:pPr>
      <w:r>
        <w:rPr>
          <w:lang w:val="en-GB"/>
        </w:rPr>
        <w:t>As can be appreciated</w:t>
      </w:r>
      <w:r w:rsidR="00657C41">
        <w:rPr>
          <w:lang w:val="en-GB"/>
        </w:rPr>
        <w:t xml:space="preserve">, </w:t>
      </w:r>
      <w:r w:rsidR="009B4FF9">
        <w:rPr>
          <w:lang w:val="en-GB"/>
        </w:rPr>
        <w:t>“</w:t>
      </w:r>
      <w:r w:rsidR="00982EAD">
        <w:rPr>
          <w:lang w:val="en-GB"/>
        </w:rPr>
        <w:t>f</w:t>
      </w:r>
      <w:r w:rsidR="00661A48" w:rsidRPr="00661A48">
        <w:rPr>
          <w:lang w:val="en-GB"/>
        </w:rPr>
        <w:t>ire</w:t>
      </w:r>
      <w:r w:rsidR="009B4FF9">
        <w:rPr>
          <w:lang w:val="en-GB"/>
        </w:rPr>
        <w:t>”</w:t>
      </w:r>
      <w:r w:rsidR="00661A48" w:rsidRPr="00661A48">
        <w:rPr>
          <w:lang w:val="en-GB"/>
        </w:rPr>
        <w:t xml:space="preserve"> is the most probable outcome for storage equipment</w:t>
      </w:r>
      <w:r w:rsidR="00853BE4">
        <w:rPr>
          <w:lang w:val="en-GB"/>
        </w:rPr>
        <w:t>,</w:t>
      </w:r>
      <w:r w:rsidR="00661A48" w:rsidRPr="00661A48">
        <w:rPr>
          <w:lang w:val="en-GB"/>
        </w:rPr>
        <w:t xml:space="preserve"> 49% of the time</w:t>
      </w:r>
      <w:r w:rsidR="00853BE4">
        <w:rPr>
          <w:lang w:val="en-GB"/>
        </w:rPr>
        <w:t>,</w:t>
      </w:r>
      <w:r w:rsidR="00F56308">
        <w:rPr>
          <w:lang w:val="en-GB"/>
        </w:rPr>
        <w:t xml:space="preserve"> </w:t>
      </w:r>
      <w:r w:rsidR="00F56308" w:rsidRPr="006662E9">
        <w:t>a</w:t>
      </w:r>
      <w:r w:rsidR="00853BE4">
        <w:rPr>
          <w:lang w:val="en-GB"/>
        </w:rPr>
        <w:t xml:space="preserve">s </w:t>
      </w:r>
      <w:r w:rsidR="00C37D82" w:rsidRPr="00CB1C44">
        <w:rPr>
          <w:lang w:val="en-GB"/>
        </w:rPr>
        <w:t>its energetic charge frequently ignites the stored substances.</w:t>
      </w:r>
      <w:r w:rsidR="00661A48" w:rsidRPr="00661A48">
        <w:rPr>
          <w:lang w:val="en-GB"/>
        </w:rPr>
        <w:t xml:space="preserve"> </w:t>
      </w:r>
      <w:r w:rsidR="008F345D" w:rsidRPr="008F345D">
        <w:rPr>
          <w:lang w:val="en-GB"/>
        </w:rPr>
        <w:t>This finding is consistent with the reported probabilities for ignition resulting from lightning-induced events, as well as the research conducted by</w:t>
      </w:r>
      <w:r w:rsidR="00661A48" w:rsidRPr="00661A48">
        <w:rPr>
          <w:lang w:val="en-GB"/>
        </w:rPr>
        <w:t xml:space="preserve"> Ricci et al. (2021). </w:t>
      </w:r>
      <w:r w:rsidR="000D5C06">
        <w:rPr>
          <w:lang w:val="en-GB"/>
        </w:rPr>
        <w:t xml:space="preserve">The same authors </w:t>
      </w:r>
      <w:r w:rsidR="00595211">
        <w:rPr>
          <w:lang w:val="en-GB"/>
        </w:rPr>
        <w:t>highlighted the release with no further consequences</w:t>
      </w:r>
      <w:r w:rsidR="00277EC6">
        <w:rPr>
          <w:lang w:val="en-GB"/>
        </w:rPr>
        <w:t xml:space="preserve"> (R-NFC)</w:t>
      </w:r>
      <w:r w:rsidR="00595211">
        <w:rPr>
          <w:lang w:val="en-GB"/>
        </w:rPr>
        <w:t xml:space="preserve"> as the most common scenario triggered </w:t>
      </w:r>
      <w:r w:rsidR="0079475B">
        <w:rPr>
          <w:lang w:val="en-GB"/>
        </w:rPr>
        <w:t>by all NaTech events</w:t>
      </w:r>
      <w:r w:rsidR="00586526">
        <w:rPr>
          <w:lang w:val="en-GB"/>
        </w:rPr>
        <w:t>,</w:t>
      </w:r>
      <w:r w:rsidR="006C2B61">
        <w:rPr>
          <w:lang w:val="en-GB"/>
        </w:rPr>
        <w:t xml:space="preserve"> with a general 45%</w:t>
      </w:r>
      <w:r w:rsidR="0079475B">
        <w:rPr>
          <w:lang w:val="en-GB"/>
        </w:rPr>
        <w:t xml:space="preserve">, </w:t>
      </w:r>
      <w:r w:rsidR="0016218C">
        <w:rPr>
          <w:lang w:val="en-GB"/>
        </w:rPr>
        <w:t>consistent with</w:t>
      </w:r>
      <w:r w:rsidR="0079475B">
        <w:rPr>
          <w:lang w:val="en-GB"/>
        </w:rPr>
        <w:t xml:space="preserve"> the</w:t>
      </w:r>
      <w:r w:rsidR="0016218C">
        <w:rPr>
          <w:lang w:val="en-GB"/>
        </w:rPr>
        <w:t xml:space="preserve"> value obtained for</w:t>
      </w:r>
      <w:r w:rsidR="00DD721D">
        <w:rPr>
          <w:lang w:val="en-GB"/>
        </w:rPr>
        <w:t xml:space="preserve"> the</w:t>
      </w:r>
      <w:r w:rsidR="00DB5D47">
        <w:rPr>
          <w:lang w:val="en-GB"/>
        </w:rPr>
        <w:t xml:space="preserve"> “</w:t>
      </w:r>
      <w:r w:rsidR="00BA20F0" w:rsidRPr="00BA20F0">
        <w:rPr>
          <w:lang w:val="en-GB"/>
        </w:rPr>
        <w:t>Electric &amp; Electronic</w:t>
      </w:r>
      <w:r w:rsidR="00BA20F0">
        <w:rPr>
          <w:lang w:val="en-GB"/>
        </w:rPr>
        <w:t>”</w:t>
      </w:r>
      <w:r w:rsidR="001C2C09">
        <w:rPr>
          <w:lang w:val="en-GB"/>
        </w:rPr>
        <w:t xml:space="preserve"> </w:t>
      </w:r>
      <w:r w:rsidR="006C2B61">
        <w:rPr>
          <w:lang w:val="en-GB"/>
        </w:rPr>
        <w:t>category</w:t>
      </w:r>
      <w:r w:rsidR="00B7792C">
        <w:rPr>
          <w:lang w:val="en-GB"/>
        </w:rPr>
        <w:t xml:space="preserve"> (52%)</w:t>
      </w:r>
      <w:r w:rsidR="00722FD9">
        <w:rPr>
          <w:lang w:val="en-GB"/>
        </w:rPr>
        <w:t xml:space="preserve">. From </w:t>
      </w:r>
      <w:r w:rsidR="00586526">
        <w:rPr>
          <w:lang w:val="en-GB"/>
        </w:rPr>
        <w:t xml:space="preserve">a </w:t>
      </w:r>
      <w:r w:rsidR="00DB5D47">
        <w:rPr>
          <w:lang w:val="en-GB"/>
        </w:rPr>
        <w:t xml:space="preserve">phenomenological </w:t>
      </w:r>
      <w:r w:rsidR="00722FD9">
        <w:rPr>
          <w:lang w:val="en-GB"/>
        </w:rPr>
        <w:t xml:space="preserve">point of view, </w:t>
      </w:r>
      <w:r w:rsidR="00DB5D47">
        <w:rPr>
          <w:lang w:val="en-GB"/>
        </w:rPr>
        <w:t>often the disruption</w:t>
      </w:r>
      <w:r w:rsidR="00A759D0">
        <w:rPr>
          <w:lang w:val="en-GB"/>
        </w:rPr>
        <w:t>s</w:t>
      </w:r>
      <w:r w:rsidR="00DB5D47">
        <w:rPr>
          <w:lang w:val="en-GB"/>
        </w:rPr>
        <w:t xml:space="preserve"> caused by th</w:t>
      </w:r>
      <w:r w:rsidR="00722FD9">
        <w:rPr>
          <w:lang w:val="en-GB"/>
        </w:rPr>
        <w:t>ese</w:t>
      </w:r>
      <w:r w:rsidR="00DB5D47">
        <w:rPr>
          <w:lang w:val="en-GB"/>
        </w:rPr>
        <w:t xml:space="preserve"> failure</w:t>
      </w:r>
      <w:r w:rsidR="00722FD9">
        <w:rPr>
          <w:lang w:val="en-GB"/>
        </w:rPr>
        <w:t>s</w:t>
      </w:r>
      <w:r w:rsidR="00DB5D47">
        <w:rPr>
          <w:lang w:val="en-GB"/>
        </w:rPr>
        <w:t xml:space="preserve"> </w:t>
      </w:r>
      <w:r w:rsidR="00722FD9">
        <w:rPr>
          <w:lang w:val="en-GB"/>
        </w:rPr>
        <w:t>are</w:t>
      </w:r>
      <w:r w:rsidR="00DB5D47">
        <w:rPr>
          <w:lang w:val="en-GB"/>
        </w:rPr>
        <w:t xml:space="preserve"> involved in the indirect pathway </w:t>
      </w:r>
      <w:r w:rsidR="00087B0D">
        <w:rPr>
          <w:lang w:val="en-GB"/>
        </w:rPr>
        <w:t xml:space="preserve">of </w:t>
      </w:r>
      <w:r w:rsidR="00586526">
        <w:rPr>
          <w:lang w:val="en-GB"/>
        </w:rPr>
        <w:t xml:space="preserve">the </w:t>
      </w:r>
      <w:r w:rsidR="00087B0D">
        <w:rPr>
          <w:lang w:val="en-GB"/>
        </w:rPr>
        <w:t xml:space="preserve">development of NaTech, </w:t>
      </w:r>
      <w:r w:rsidR="00B663DB">
        <w:rPr>
          <w:lang w:val="en-GB"/>
        </w:rPr>
        <w:t>which</w:t>
      </w:r>
      <w:r w:rsidR="008E61B9">
        <w:rPr>
          <w:lang w:val="en-GB"/>
        </w:rPr>
        <w:t xml:space="preserve"> means involving utilities or impairment</w:t>
      </w:r>
      <w:r w:rsidR="00586526">
        <w:rPr>
          <w:lang w:val="en-GB"/>
        </w:rPr>
        <w:t>s</w:t>
      </w:r>
      <w:r w:rsidR="008E61B9">
        <w:rPr>
          <w:lang w:val="en-GB"/>
        </w:rPr>
        <w:t xml:space="preserve"> that </w:t>
      </w:r>
      <w:r w:rsidR="00A759D0">
        <w:rPr>
          <w:lang w:val="en-GB"/>
        </w:rPr>
        <w:t>degrade the</w:t>
      </w:r>
      <w:r w:rsidR="007073BD">
        <w:rPr>
          <w:lang w:val="en-GB"/>
        </w:rPr>
        <w:t xml:space="preserve"> system</w:t>
      </w:r>
      <w:r w:rsidR="00A759D0">
        <w:rPr>
          <w:lang w:val="en-GB"/>
        </w:rPr>
        <w:t xml:space="preserve"> perform</w:t>
      </w:r>
      <w:r w:rsidR="007073BD">
        <w:rPr>
          <w:lang w:val="en-GB"/>
        </w:rPr>
        <w:t xml:space="preserve">ance or </w:t>
      </w:r>
      <w:r w:rsidR="009B6CE2" w:rsidRPr="009B6CE2">
        <w:rPr>
          <w:lang w:val="en-GB"/>
        </w:rPr>
        <w:t>impede the failure</w:t>
      </w:r>
      <w:r w:rsidR="00525582">
        <w:rPr>
          <w:lang w:val="en-GB"/>
        </w:rPr>
        <w:t xml:space="preserve"> </w:t>
      </w:r>
      <w:r w:rsidR="009B6CE2">
        <w:rPr>
          <w:lang w:val="en-GB"/>
        </w:rPr>
        <w:t>mitigation</w:t>
      </w:r>
      <w:r w:rsidR="00722FD9">
        <w:rPr>
          <w:lang w:val="en-GB"/>
        </w:rPr>
        <w:t xml:space="preserve"> but </w:t>
      </w:r>
      <w:r w:rsidR="00B663DB">
        <w:rPr>
          <w:lang w:val="en-GB"/>
        </w:rPr>
        <w:t xml:space="preserve">do </w:t>
      </w:r>
      <w:r w:rsidR="00722FD9">
        <w:rPr>
          <w:lang w:val="en-GB"/>
        </w:rPr>
        <w:t>not directly impact the dangerous substance.</w:t>
      </w:r>
    </w:p>
    <w:p w14:paraId="70E58D0A" w14:textId="1CB1C355" w:rsidR="001E48DF" w:rsidRDefault="00722FD9" w:rsidP="005D201D">
      <w:pPr>
        <w:pStyle w:val="CETBodytext"/>
        <w:spacing w:after="120" w:line="240" w:lineRule="auto"/>
        <w:rPr>
          <w:lang w:val="en-GB"/>
        </w:rPr>
      </w:pPr>
      <w:r>
        <w:rPr>
          <w:lang w:val="en-GB"/>
        </w:rPr>
        <w:lastRenderedPageBreak/>
        <w:t xml:space="preserve">The vulnerabilities of functional factors can be deepened </w:t>
      </w:r>
      <w:r w:rsidR="00B663DB">
        <w:rPr>
          <w:lang w:val="en-GB"/>
        </w:rPr>
        <w:t xml:space="preserve">by </w:t>
      </w:r>
      <w:r>
        <w:rPr>
          <w:lang w:val="en-GB"/>
        </w:rPr>
        <w:t xml:space="preserve">attending </w:t>
      </w:r>
      <w:r w:rsidR="00B663DB">
        <w:rPr>
          <w:lang w:val="en-GB"/>
        </w:rPr>
        <w:t xml:space="preserve">to </w:t>
      </w:r>
      <w:r>
        <w:rPr>
          <w:lang w:val="en-GB"/>
        </w:rPr>
        <w:t xml:space="preserve">other </w:t>
      </w:r>
      <w:r w:rsidR="00CD2F67">
        <w:rPr>
          <w:lang w:val="en-GB"/>
        </w:rPr>
        <w:t>attributes</w:t>
      </w:r>
      <w:r>
        <w:rPr>
          <w:lang w:val="en-GB"/>
        </w:rPr>
        <w:t xml:space="preserve"> of interest </w:t>
      </w:r>
      <w:r w:rsidR="00CD2F67">
        <w:rPr>
          <w:lang w:val="en-GB"/>
        </w:rPr>
        <w:t xml:space="preserve">extracted from the </w:t>
      </w:r>
      <w:r w:rsidR="000E58E3">
        <w:t>original</w:t>
      </w:r>
      <w:r w:rsidR="00CD2F67" w:rsidRPr="005E7008">
        <w:t xml:space="preserve"> dataset</w:t>
      </w:r>
      <w:r w:rsidR="00CD2F67">
        <w:t xml:space="preserve">, </w:t>
      </w:r>
      <w:r>
        <w:rPr>
          <w:lang w:val="en-GB"/>
        </w:rPr>
        <w:t xml:space="preserve">such as </w:t>
      </w:r>
      <w:r w:rsidR="005A4838">
        <w:rPr>
          <w:lang w:val="en-GB"/>
        </w:rPr>
        <w:t xml:space="preserve">source and state of damage, categories </w:t>
      </w:r>
      <w:r w:rsidR="000E4A28">
        <w:rPr>
          <w:lang w:val="en-GB"/>
        </w:rPr>
        <w:t xml:space="preserve">and quantity </w:t>
      </w:r>
      <w:r w:rsidR="005A4838">
        <w:rPr>
          <w:lang w:val="en-GB"/>
        </w:rPr>
        <w:t xml:space="preserve">of substances detained, </w:t>
      </w:r>
      <w:r w:rsidR="0044146D">
        <w:rPr>
          <w:lang w:val="en-GB"/>
        </w:rPr>
        <w:t>presence of safety barriers</w:t>
      </w:r>
      <w:r w:rsidR="00B663DB">
        <w:rPr>
          <w:lang w:val="en-GB"/>
        </w:rPr>
        <w:t>,</w:t>
      </w:r>
      <w:r w:rsidR="0044146D">
        <w:rPr>
          <w:lang w:val="en-GB"/>
        </w:rPr>
        <w:t xml:space="preserve"> </w:t>
      </w:r>
      <w:r w:rsidR="005A4838">
        <w:rPr>
          <w:lang w:val="en-GB"/>
        </w:rPr>
        <w:t>and so on</w:t>
      </w:r>
      <w:r w:rsidR="00041BD0">
        <w:rPr>
          <w:lang w:val="en-GB"/>
        </w:rPr>
        <w:t xml:space="preserve">. </w:t>
      </w:r>
      <w:r w:rsidR="000E58E3">
        <w:rPr>
          <w:lang w:val="en-GB"/>
        </w:rPr>
        <w:t>F</w:t>
      </w:r>
      <w:r w:rsidR="00041BD0">
        <w:rPr>
          <w:lang w:val="en-GB"/>
        </w:rPr>
        <w:t xml:space="preserve">urther </w:t>
      </w:r>
      <w:r w:rsidR="000E58E3">
        <w:rPr>
          <w:lang w:val="en-GB"/>
        </w:rPr>
        <w:t>details can be consulted in</w:t>
      </w:r>
      <w:r w:rsidR="00587079">
        <w:rPr>
          <w:lang w:val="en-GB"/>
        </w:rPr>
        <w:t xml:space="preserve"> </w:t>
      </w:r>
      <w:r w:rsidR="00587079" w:rsidRPr="005D4D1F">
        <w:t>Castro Rodríguez et al. (2024)</w:t>
      </w:r>
      <w:r w:rsidR="00587079">
        <w:rPr>
          <w:lang w:val="en-GB"/>
        </w:rPr>
        <w:t>.</w:t>
      </w:r>
    </w:p>
    <w:p w14:paraId="5138491C" w14:textId="712E17AE" w:rsidR="00884AF7" w:rsidRDefault="001E7A82" w:rsidP="00CE6A1A">
      <w:pPr>
        <w:pStyle w:val="CETBodytext"/>
        <w:rPr>
          <w:lang w:val="en-GB"/>
        </w:rPr>
      </w:pPr>
      <w:r w:rsidRPr="001E7A82">
        <w:rPr>
          <w:lang w:val="en-GB"/>
        </w:rPr>
        <w:t xml:space="preserve">During the examination </w:t>
      </w:r>
      <w:r w:rsidR="00693F18">
        <w:rPr>
          <w:lang w:val="en-GB"/>
        </w:rPr>
        <w:t xml:space="preserve">at </w:t>
      </w:r>
      <w:r w:rsidR="00F90356">
        <w:rPr>
          <w:lang w:val="en-GB"/>
        </w:rPr>
        <w:t xml:space="preserve">a </w:t>
      </w:r>
      <w:r w:rsidR="00693F18">
        <w:rPr>
          <w:lang w:val="en-GB"/>
        </w:rPr>
        <w:t xml:space="preserve">large scale </w:t>
      </w:r>
      <w:r w:rsidRPr="001E7A82">
        <w:rPr>
          <w:lang w:val="en-GB"/>
        </w:rPr>
        <w:t>of functional and territorial factors (</w:t>
      </w:r>
      <w:r w:rsidR="00FC2396">
        <w:rPr>
          <w:lang w:val="en-GB"/>
        </w:rPr>
        <w:t xml:space="preserve">refer to </w:t>
      </w:r>
      <w:r w:rsidR="00693F18">
        <w:rPr>
          <w:lang w:val="en-GB"/>
        </w:rPr>
        <w:t>subsection</w:t>
      </w:r>
      <w:r w:rsidR="00FC2396" w:rsidRPr="001E7A82">
        <w:rPr>
          <w:lang w:val="en-GB"/>
        </w:rPr>
        <w:t xml:space="preserve"> </w:t>
      </w:r>
      <w:r w:rsidRPr="001E7A82">
        <w:rPr>
          <w:lang w:val="en-GB"/>
        </w:rPr>
        <w:t xml:space="preserve">3.1), </w:t>
      </w:r>
      <w:r w:rsidR="00041AA5">
        <w:rPr>
          <w:lang w:val="en-GB"/>
        </w:rPr>
        <w:t xml:space="preserve">there were </w:t>
      </w:r>
      <w:r w:rsidR="00693F18">
        <w:rPr>
          <w:lang w:val="en-GB"/>
        </w:rPr>
        <w:t xml:space="preserve">some </w:t>
      </w:r>
      <w:r w:rsidRPr="001E7A82">
        <w:rPr>
          <w:lang w:val="en-GB"/>
        </w:rPr>
        <w:t>differences</w:t>
      </w:r>
      <w:r w:rsidR="00693F18">
        <w:rPr>
          <w:lang w:val="en-GB"/>
        </w:rPr>
        <w:t xml:space="preserve"> concerning the</w:t>
      </w:r>
      <w:r w:rsidR="00066329">
        <w:rPr>
          <w:lang w:val="en-GB"/>
        </w:rPr>
        <w:t xml:space="preserve"> </w:t>
      </w:r>
      <w:r w:rsidR="00BD2438">
        <w:rPr>
          <w:lang w:val="en-GB"/>
        </w:rPr>
        <w:t xml:space="preserve">interplays between both the lightning and the establishment </w:t>
      </w:r>
      <w:r w:rsidR="00BD2438" w:rsidRPr="001E7A82">
        <w:rPr>
          <w:lang w:val="en-GB"/>
        </w:rPr>
        <w:t xml:space="preserve">territorial </w:t>
      </w:r>
      <w:r w:rsidR="00BD2438">
        <w:rPr>
          <w:lang w:val="en-GB"/>
        </w:rPr>
        <w:t>densities</w:t>
      </w:r>
      <w:r w:rsidRPr="001E7A82">
        <w:rPr>
          <w:lang w:val="en-GB"/>
        </w:rPr>
        <w:t xml:space="preserve">. These </w:t>
      </w:r>
      <w:r w:rsidR="00622BD1">
        <w:rPr>
          <w:lang w:val="en-GB"/>
        </w:rPr>
        <w:t>attributes</w:t>
      </w:r>
      <w:r w:rsidR="00622BD1" w:rsidRPr="001E7A82">
        <w:rPr>
          <w:lang w:val="en-GB"/>
        </w:rPr>
        <w:t xml:space="preserve"> </w:t>
      </w:r>
      <w:r w:rsidRPr="001E7A82">
        <w:rPr>
          <w:lang w:val="en-GB"/>
        </w:rPr>
        <w:t>are seldom reported in open industrial</w:t>
      </w:r>
      <w:r w:rsidR="00775721">
        <w:rPr>
          <w:lang w:val="en-GB"/>
        </w:rPr>
        <w:t xml:space="preserve"> </w:t>
      </w:r>
      <w:r w:rsidRPr="001E7A82">
        <w:rPr>
          <w:lang w:val="en-GB"/>
        </w:rPr>
        <w:t>accident databases</w:t>
      </w:r>
      <w:r>
        <w:rPr>
          <w:lang w:val="en-GB"/>
        </w:rPr>
        <w:t xml:space="preserve"> </w:t>
      </w:r>
      <w:r w:rsidR="004E24A0" w:rsidRPr="004E24A0">
        <w:rPr>
          <w:lang w:val="en-GB"/>
        </w:rPr>
        <w:t>(Krausmann et al., 2011; Reniers et al., 2018).</w:t>
      </w:r>
      <w:r w:rsidR="004E24A0">
        <w:rPr>
          <w:lang w:val="en-GB"/>
        </w:rPr>
        <w:t xml:space="preserve"> </w:t>
      </w:r>
      <w:r w:rsidR="00FC7228" w:rsidRPr="00FC7228">
        <w:rPr>
          <w:lang w:val="en-GB"/>
        </w:rPr>
        <w:t>Th</w:t>
      </w:r>
      <w:r w:rsidR="00297866">
        <w:rPr>
          <w:lang w:val="en-GB"/>
        </w:rPr>
        <w:t>is</w:t>
      </w:r>
      <w:r w:rsidR="00FC7228" w:rsidRPr="00FC7228">
        <w:rPr>
          <w:lang w:val="en-GB"/>
        </w:rPr>
        <w:t xml:space="preserve"> issue makes </w:t>
      </w:r>
      <w:r w:rsidR="0007742F">
        <w:rPr>
          <w:lang w:val="en-GB"/>
        </w:rPr>
        <w:t xml:space="preserve">it </w:t>
      </w:r>
      <w:r w:rsidR="006A7EE4">
        <w:rPr>
          <w:lang w:val="en-GB"/>
        </w:rPr>
        <w:t>hard</w:t>
      </w:r>
      <w:r w:rsidR="00FC7228" w:rsidRPr="00FC7228">
        <w:rPr>
          <w:lang w:val="en-GB"/>
        </w:rPr>
        <w:t xml:space="preserve"> to distinguish </w:t>
      </w:r>
      <w:r w:rsidR="00C907A9">
        <w:rPr>
          <w:lang w:val="en-GB"/>
        </w:rPr>
        <w:t xml:space="preserve">vulnerability differences </w:t>
      </w:r>
      <w:r w:rsidR="00FC7228" w:rsidRPr="00FC7228">
        <w:rPr>
          <w:lang w:val="en-GB"/>
        </w:rPr>
        <w:t xml:space="preserve">between </w:t>
      </w:r>
      <w:r w:rsidR="00E655B9">
        <w:rPr>
          <w:lang w:val="en-GB"/>
        </w:rPr>
        <w:t>establishment</w:t>
      </w:r>
      <w:r w:rsidR="00C907A9">
        <w:rPr>
          <w:lang w:val="en-GB"/>
        </w:rPr>
        <w:t xml:space="preserve">s falling under </w:t>
      </w:r>
      <w:r w:rsidR="00FC7228" w:rsidRPr="00FC7228">
        <w:rPr>
          <w:lang w:val="en-GB"/>
        </w:rPr>
        <w:t xml:space="preserve">the same macro-sector </w:t>
      </w:r>
      <w:r w:rsidR="00C907A9">
        <w:rPr>
          <w:lang w:val="en-GB"/>
        </w:rPr>
        <w:t xml:space="preserve">categories </w:t>
      </w:r>
      <w:r w:rsidR="00FC7228" w:rsidRPr="00FC7228">
        <w:rPr>
          <w:lang w:val="en-GB"/>
        </w:rPr>
        <w:t xml:space="preserve">but </w:t>
      </w:r>
      <w:r w:rsidR="00C907A9">
        <w:rPr>
          <w:lang w:val="en-GB"/>
        </w:rPr>
        <w:t xml:space="preserve">located </w:t>
      </w:r>
      <w:r w:rsidR="00EF0343">
        <w:rPr>
          <w:lang w:val="en-GB"/>
        </w:rPr>
        <w:t>in</w:t>
      </w:r>
      <w:r w:rsidR="00FC7228" w:rsidRPr="00FC7228">
        <w:rPr>
          <w:lang w:val="en-GB"/>
        </w:rPr>
        <w:t xml:space="preserve"> </w:t>
      </w:r>
      <w:r w:rsidR="00622BD1">
        <w:rPr>
          <w:lang w:val="en-GB"/>
        </w:rPr>
        <w:t>diverse</w:t>
      </w:r>
      <w:r w:rsidR="00622BD1" w:rsidRPr="00FC7228">
        <w:rPr>
          <w:lang w:val="en-GB"/>
        </w:rPr>
        <w:t xml:space="preserve"> </w:t>
      </w:r>
      <w:r w:rsidR="00FC7228" w:rsidRPr="00FC7228">
        <w:rPr>
          <w:lang w:val="en-GB"/>
        </w:rPr>
        <w:t xml:space="preserve">areas. Thus, whereas functional elements are used for quantitative </w:t>
      </w:r>
      <w:r w:rsidR="00622BD1">
        <w:rPr>
          <w:lang w:val="en-GB"/>
        </w:rPr>
        <w:t>site</w:t>
      </w:r>
      <w:r w:rsidR="00FC7228" w:rsidRPr="00FC7228">
        <w:rPr>
          <w:lang w:val="en-GB"/>
        </w:rPr>
        <w:t xml:space="preserve"> evaluations, </w:t>
      </w:r>
      <w:r w:rsidR="00622BD1">
        <w:rPr>
          <w:lang w:val="en-GB"/>
        </w:rPr>
        <w:t>the territorial c</w:t>
      </w:r>
      <w:r w:rsidR="001624D8">
        <w:rPr>
          <w:lang w:val="en-GB"/>
        </w:rPr>
        <w:t xml:space="preserve">omponent </w:t>
      </w:r>
      <w:r w:rsidR="00940E14">
        <w:rPr>
          <w:lang w:val="en-GB"/>
        </w:rPr>
        <w:t>is</w:t>
      </w:r>
      <w:r w:rsidR="00FC7228" w:rsidRPr="00FC7228">
        <w:rPr>
          <w:lang w:val="en-GB"/>
        </w:rPr>
        <w:t xml:space="preserve"> generally </w:t>
      </w:r>
      <w:r w:rsidR="001624D8">
        <w:rPr>
          <w:lang w:val="en-GB"/>
        </w:rPr>
        <w:t>overlooked</w:t>
      </w:r>
      <w:r w:rsidR="00FC7228" w:rsidRPr="00FC7228">
        <w:rPr>
          <w:lang w:val="en-GB"/>
        </w:rPr>
        <w:t xml:space="preserve">. </w:t>
      </w:r>
    </w:p>
    <w:p w14:paraId="0B85209E" w14:textId="104F5F0E" w:rsidR="005944CD" w:rsidRDefault="001A54F9" w:rsidP="00CE6A1A">
      <w:pPr>
        <w:pStyle w:val="CETBodytext"/>
        <w:rPr>
          <w:lang w:val="en-GB"/>
        </w:rPr>
      </w:pPr>
      <w:r w:rsidRPr="001A54F9">
        <w:rPr>
          <w:lang w:val="en-GB"/>
        </w:rPr>
        <w:t>In theory, if two hypothetical establishments belong to the "chemical and petrochemical" macro-sector, for example, Plant A from Liguria (30 establishments/region) and Plant B from Apulia (30 establishments/region), they should have the same conditional probability for sub-categories of equipment. For instance, according to Table 1, the likelihood of being affected by lightning in the category “storage equipment” is always 0.46 for both plant A and plant B. However, not only is the extension of Apulia 3.6 times higher, but the Ng of Apulia results are lower. Therefore, it is readily apparent that there exists a factor that conditions the infrastructural vulnerability assessment against lightning strikes between Plant A and Plant B, depending on their territorial contexts.</w:t>
      </w:r>
      <w:r w:rsidR="00CE6A1A" w:rsidRPr="00CE6A1A">
        <w:rPr>
          <w:lang w:val="en-GB"/>
        </w:rPr>
        <w:t xml:space="preserve"> </w:t>
      </w:r>
    </w:p>
    <w:p w14:paraId="7BA919E2" w14:textId="33567CC5" w:rsidR="00FC0234" w:rsidRPr="0024570B" w:rsidRDefault="00FC0234" w:rsidP="00FC0234">
      <w:pPr>
        <w:pStyle w:val="CETheadingx"/>
      </w:pPr>
      <w:r>
        <w:t>3.3 Ongoing implications</w:t>
      </w:r>
      <w:r w:rsidRPr="006A7EE4" w:rsidDel="00C9126F">
        <w:t xml:space="preserve"> </w:t>
      </w:r>
    </w:p>
    <w:p w14:paraId="3159D9AE" w14:textId="5AC66968" w:rsidR="00CE6A1A" w:rsidRPr="00CE6A1A" w:rsidRDefault="00FC0234" w:rsidP="000F7576">
      <w:pPr>
        <w:pStyle w:val="CETBodytext"/>
        <w:rPr>
          <w:lang w:val="en-GB"/>
        </w:rPr>
      </w:pPr>
      <w:r w:rsidRPr="00FC0234">
        <w:rPr>
          <w:lang w:val="en-GB"/>
        </w:rPr>
        <w:t>The previous discussion on the lightning factor is generalizable to other natural hazards, aiming to comprehensively assess industrial vulnerabilities as a first step to enhance resilience against NaTech events. Specifically, the importance of the augmented territorial perspective has implications for improving the leading indicators used to estimate the NaTech potential at the industrial context scale. For instance, throughout ongoing research, a “location priority factor” will be integrated into the NaTech indicator used in previous work (Castro Rodriguez et al., 2023b), addressing conceptual ideas that are here presented as preliminary criteria (the list below is not exhaustive):</w:t>
      </w:r>
    </w:p>
    <w:p w14:paraId="5F00BF6D" w14:textId="7F49D853" w:rsidR="00CE6A1A" w:rsidRPr="00CE6A1A" w:rsidRDefault="00FC0234" w:rsidP="00CE6A1A">
      <w:pPr>
        <w:pStyle w:val="CETBodytext"/>
        <w:numPr>
          <w:ilvl w:val="0"/>
          <w:numId w:val="25"/>
        </w:numPr>
        <w:rPr>
          <w:lang w:val="en-GB"/>
        </w:rPr>
      </w:pPr>
      <w:r>
        <w:rPr>
          <w:lang w:val="en-GB"/>
        </w:rPr>
        <w:t>D</w:t>
      </w:r>
      <w:r w:rsidR="00E83B8C" w:rsidRPr="00E83B8C">
        <w:rPr>
          <w:lang w:val="en-GB"/>
        </w:rPr>
        <w:t>ifferences in the spatial influence of each natural hazard on the industrial context under consideration</w:t>
      </w:r>
      <w:r w:rsidR="00CE6A1A" w:rsidRPr="00CE6A1A">
        <w:rPr>
          <w:lang w:val="en-GB"/>
        </w:rPr>
        <w:t>,</w:t>
      </w:r>
    </w:p>
    <w:p w14:paraId="3ABCA2EC" w14:textId="4EFCE788" w:rsidR="00CE6A1A" w:rsidRPr="00CE6A1A" w:rsidRDefault="00FC0234" w:rsidP="00CE6A1A">
      <w:pPr>
        <w:pStyle w:val="CETBodytext"/>
        <w:numPr>
          <w:ilvl w:val="0"/>
          <w:numId w:val="25"/>
        </w:numPr>
        <w:rPr>
          <w:lang w:val="en-GB"/>
        </w:rPr>
      </w:pPr>
      <w:r>
        <w:rPr>
          <w:lang w:val="en-GB"/>
        </w:rPr>
        <w:t>S</w:t>
      </w:r>
      <w:r w:rsidR="002D5AC6" w:rsidRPr="002D5AC6">
        <w:rPr>
          <w:lang w:val="en-GB"/>
        </w:rPr>
        <w:t>pecific vulnerability of the kind of industrial infrastructure of concern against specific natural hazards</w:t>
      </w:r>
      <w:r w:rsidR="00CE6A1A" w:rsidRPr="00CE6A1A">
        <w:rPr>
          <w:lang w:val="en-GB"/>
        </w:rPr>
        <w:t>,</w:t>
      </w:r>
    </w:p>
    <w:p w14:paraId="71C307E8" w14:textId="56415D01" w:rsidR="00CE6A1A" w:rsidRPr="00CE6A1A" w:rsidRDefault="00FC0234" w:rsidP="00CE6A1A">
      <w:pPr>
        <w:pStyle w:val="CETBodytext"/>
        <w:numPr>
          <w:ilvl w:val="0"/>
          <w:numId w:val="25"/>
        </w:numPr>
        <w:rPr>
          <w:lang w:val="en-GB"/>
        </w:rPr>
      </w:pPr>
      <w:r>
        <w:rPr>
          <w:lang w:val="en-GB"/>
        </w:rPr>
        <w:t>P</w:t>
      </w:r>
      <w:r w:rsidR="001C67A0" w:rsidRPr="001C67A0">
        <w:rPr>
          <w:lang w:val="en-GB"/>
        </w:rPr>
        <w:t>otential interactions among natural hazards causing cascading effects</w:t>
      </w:r>
      <w:r w:rsidR="00CE6A1A" w:rsidRPr="00CE6A1A">
        <w:rPr>
          <w:lang w:val="en-GB"/>
        </w:rPr>
        <w:t>,</w:t>
      </w:r>
    </w:p>
    <w:p w14:paraId="621336C1" w14:textId="4FFE64D7" w:rsidR="00CE6A1A" w:rsidRPr="00CE6A1A" w:rsidRDefault="00FC0234" w:rsidP="00CE6A1A">
      <w:pPr>
        <w:pStyle w:val="CETBodytext"/>
        <w:numPr>
          <w:ilvl w:val="0"/>
          <w:numId w:val="25"/>
        </w:numPr>
        <w:rPr>
          <w:lang w:val="en-GB"/>
        </w:rPr>
      </w:pPr>
      <w:r>
        <w:rPr>
          <w:lang w:val="en-GB"/>
        </w:rPr>
        <w:t>T</w:t>
      </w:r>
      <w:r w:rsidR="002418DF" w:rsidRPr="002418DF">
        <w:rPr>
          <w:lang w:val="en-GB"/>
        </w:rPr>
        <w:t>erritorial density of infrastructures in the location of interest and synergy with neighboring infrastructure</w:t>
      </w:r>
      <w:r w:rsidR="00CE6A1A" w:rsidRPr="00CE6A1A">
        <w:rPr>
          <w:lang w:val="en-GB"/>
        </w:rPr>
        <w:t>,</w:t>
      </w:r>
    </w:p>
    <w:p w14:paraId="07DBCE27" w14:textId="11DF8923" w:rsidR="00EF1E5C" w:rsidRPr="00CE6A1A" w:rsidRDefault="00FC0234" w:rsidP="00246605">
      <w:pPr>
        <w:pStyle w:val="CETBodytext"/>
        <w:numPr>
          <w:ilvl w:val="0"/>
          <w:numId w:val="25"/>
        </w:numPr>
        <w:rPr>
          <w:lang w:val="en-GB"/>
        </w:rPr>
      </w:pPr>
      <w:r>
        <w:rPr>
          <w:lang w:val="en-GB"/>
        </w:rPr>
        <w:t>C</w:t>
      </w:r>
      <w:r w:rsidR="002418DF">
        <w:rPr>
          <w:lang w:val="en-GB"/>
        </w:rPr>
        <w:t>oping capacity</w:t>
      </w:r>
      <w:r w:rsidR="00CE6A1A" w:rsidRPr="00CE6A1A">
        <w:rPr>
          <w:lang w:val="en-GB"/>
        </w:rPr>
        <w:t xml:space="preserve"> inside and outside the plants.</w:t>
      </w:r>
    </w:p>
    <w:p w14:paraId="68D26B83" w14:textId="09F3A101" w:rsidR="00600535" w:rsidRPr="00B57B36" w:rsidRDefault="00600535" w:rsidP="00600535">
      <w:pPr>
        <w:pStyle w:val="CETHeading1"/>
        <w:rPr>
          <w:lang w:val="en-GB"/>
        </w:rPr>
      </w:pPr>
      <w:r w:rsidRPr="00B57B36">
        <w:rPr>
          <w:lang w:val="en-GB"/>
        </w:rPr>
        <w:t>Conclusions</w:t>
      </w:r>
    </w:p>
    <w:p w14:paraId="016BEE1C" w14:textId="6D6F7441" w:rsidR="0081049E" w:rsidRDefault="00626DCC" w:rsidP="00150C44">
      <w:pPr>
        <w:pStyle w:val="CETAcknowledgementstitle"/>
        <w:spacing w:before="0" w:after="0"/>
        <w:jc w:val="both"/>
        <w:rPr>
          <w:b w:val="0"/>
        </w:rPr>
      </w:pPr>
      <w:r>
        <w:rPr>
          <w:b w:val="0"/>
        </w:rPr>
        <w:t>T</w:t>
      </w:r>
      <w:r w:rsidR="005A6930" w:rsidRPr="005A6930">
        <w:rPr>
          <w:b w:val="0"/>
        </w:rPr>
        <w:t>he most common macro-sectors in Italian MHI</w:t>
      </w:r>
      <w:r>
        <w:rPr>
          <w:b w:val="0"/>
        </w:rPr>
        <w:t>s</w:t>
      </w:r>
      <w:r w:rsidR="005A6930" w:rsidRPr="005A6930">
        <w:rPr>
          <w:b w:val="0"/>
        </w:rPr>
        <w:t xml:space="preserve"> distribution </w:t>
      </w:r>
      <w:r>
        <w:rPr>
          <w:b w:val="0"/>
        </w:rPr>
        <w:t>resulted</w:t>
      </w:r>
      <w:r w:rsidR="005A6930" w:rsidRPr="005A6930">
        <w:rPr>
          <w:b w:val="0"/>
        </w:rPr>
        <w:t xml:space="preserve"> </w:t>
      </w:r>
      <w:r w:rsidR="00775721">
        <w:rPr>
          <w:b w:val="0"/>
        </w:rPr>
        <w:t xml:space="preserve">in </w:t>
      </w:r>
      <w:r>
        <w:rPr>
          <w:b w:val="0"/>
        </w:rPr>
        <w:t>“</w:t>
      </w:r>
      <w:r w:rsidR="005A6930" w:rsidRPr="005A6930">
        <w:rPr>
          <w:b w:val="0"/>
        </w:rPr>
        <w:t>chemical and petrochemical,</w:t>
      </w:r>
      <w:r>
        <w:rPr>
          <w:b w:val="0"/>
        </w:rPr>
        <w:t>”</w:t>
      </w:r>
      <w:r w:rsidR="005A6930" w:rsidRPr="005A6930">
        <w:rPr>
          <w:b w:val="0"/>
        </w:rPr>
        <w:t xml:space="preserve"> </w:t>
      </w:r>
      <w:r>
        <w:rPr>
          <w:b w:val="0"/>
        </w:rPr>
        <w:t>“</w:t>
      </w:r>
      <w:r w:rsidR="005A6930" w:rsidRPr="005A6930">
        <w:rPr>
          <w:b w:val="0"/>
        </w:rPr>
        <w:t>storage and warehousing,</w:t>
      </w:r>
      <w:r>
        <w:rPr>
          <w:b w:val="0"/>
        </w:rPr>
        <w:t>”</w:t>
      </w:r>
      <w:r w:rsidR="005A6930" w:rsidRPr="005A6930">
        <w:rPr>
          <w:b w:val="0"/>
        </w:rPr>
        <w:t xml:space="preserve"> and </w:t>
      </w:r>
      <w:r>
        <w:rPr>
          <w:b w:val="0"/>
        </w:rPr>
        <w:t>“</w:t>
      </w:r>
      <w:r w:rsidR="005A6930" w:rsidRPr="005A6930">
        <w:rPr>
          <w:b w:val="0"/>
        </w:rPr>
        <w:t>manufacturing.</w:t>
      </w:r>
      <w:r>
        <w:rPr>
          <w:b w:val="0"/>
        </w:rPr>
        <w:t>”</w:t>
      </w:r>
      <w:r w:rsidR="005A6930" w:rsidRPr="005A6930">
        <w:rPr>
          <w:b w:val="0"/>
        </w:rPr>
        <w:t xml:space="preserve"> These macro-sectors are frequently located in areas with medium to high lightning density on the ground, and they are also among the most vulnerable to lightning strikes, according to a historical analysis of lightning-triggered NaTech events. From a probabilistic perspective, no differences were found when comparing two hypothetical establishments belonging to the same macro-sector. On the other hand, when the territorial component was introduced, there were highlighted differences</w:t>
      </w:r>
      <w:r>
        <w:rPr>
          <w:b w:val="0"/>
        </w:rPr>
        <w:t xml:space="preserve"> </w:t>
      </w:r>
      <w:r w:rsidR="00127590" w:rsidRPr="005A6930">
        <w:rPr>
          <w:b w:val="0"/>
        </w:rPr>
        <w:t xml:space="preserve">in the likelihood </w:t>
      </w:r>
      <w:r>
        <w:rPr>
          <w:b w:val="0"/>
        </w:rPr>
        <w:t xml:space="preserve">between </w:t>
      </w:r>
      <w:r w:rsidR="00127590">
        <w:rPr>
          <w:b w:val="0"/>
        </w:rPr>
        <w:t>the hypothetical establishments,</w:t>
      </w:r>
      <w:r w:rsidR="005A6930" w:rsidRPr="005A6930">
        <w:rPr>
          <w:b w:val="0"/>
        </w:rPr>
        <w:t xml:space="preserve"> considering both the </w:t>
      </w:r>
      <w:r w:rsidR="00127590">
        <w:rPr>
          <w:b w:val="0"/>
        </w:rPr>
        <w:t xml:space="preserve">density </w:t>
      </w:r>
      <w:r w:rsidR="00775721">
        <w:rPr>
          <w:b w:val="0"/>
        </w:rPr>
        <w:t xml:space="preserve">of </w:t>
      </w:r>
      <w:r w:rsidR="00127590">
        <w:rPr>
          <w:b w:val="0"/>
        </w:rPr>
        <w:t>establishments</w:t>
      </w:r>
      <w:r w:rsidR="005A6930" w:rsidRPr="005A6930">
        <w:rPr>
          <w:b w:val="0"/>
        </w:rPr>
        <w:t xml:space="preserve"> and lightning. These issues have a potential impact on vulnerability awareness against lighting and the consequent decision-making process concerning lightning protection measures. This study emphasizes the importance of combining quantitative analysis from historical records with the territorial perspective component to comprehensively evaluate the infrastructure vulnerability to natural hazards</w:t>
      </w:r>
      <w:r w:rsidR="000E58E3" w:rsidRPr="000E58E3">
        <w:rPr>
          <w:b w:val="0"/>
        </w:rPr>
        <w:t xml:space="preserve">. </w:t>
      </w:r>
    </w:p>
    <w:p w14:paraId="557560F8" w14:textId="6011D2EE" w:rsidR="00687BE4" w:rsidRDefault="000E58E3" w:rsidP="00150C44">
      <w:pPr>
        <w:pStyle w:val="CETAcknowledgementstitle"/>
        <w:spacing w:before="0" w:after="0"/>
        <w:jc w:val="both"/>
        <w:rPr>
          <w:b w:val="0"/>
        </w:rPr>
      </w:pPr>
      <w:r w:rsidRPr="000E58E3">
        <w:rPr>
          <w:b w:val="0"/>
        </w:rPr>
        <w:t xml:space="preserve">Conceptual ideas were presented as preliminary criteria </w:t>
      </w:r>
      <w:r w:rsidR="006121FA">
        <w:rPr>
          <w:b w:val="0"/>
        </w:rPr>
        <w:t>with implications</w:t>
      </w:r>
      <w:r w:rsidR="00196DC2">
        <w:rPr>
          <w:b w:val="0"/>
        </w:rPr>
        <w:t xml:space="preserve"> </w:t>
      </w:r>
      <w:r w:rsidR="00775721">
        <w:rPr>
          <w:b w:val="0"/>
        </w:rPr>
        <w:t>for</w:t>
      </w:r>
      <w:r w:rsidR="00775721" w:rsidRPr="000E58E3">
        <w:rPr>
          <w:b w:val="0"/>
        </w:rPr>
        <w:t xml:space="preserve"> </w:t>
      </w:r>
      <w:r w:rsidRPr="000E58E3">
        <w:rPr>
          <w:b w:val="0"/>
        </w:rPr>
        <w:t xml:space="preserve">further development of a priority factor that considers territorial aspects at the industrial context scale. Finally, this study offers </w:t>
      </w:r>
      <w:r w:rsidR="00D505C0">
        <w:rPr>
          <w:b w:val="0"/>
        </w:rPr>
        <w:t xml:space="preserve">methodological </w:t>
      </w:r>
      <w:r w:rsidRPr="000E58E3">
        <w:rPr>
          <w:b w:val="0"/>
        </w:rPr>
        <w:t xml:space="preserve">generalization </w:t>
      </w:r>
      <w:r w:rsidR="00D505C0">
        <w:rPr>
          <w:b w:val="0"/>
        </w:rPr>
        <w:t>for the territorial analysis of</w:t>
      </w:r>
      <w:r w:rsidRPr="000E58E3">
        <w:rPr>
          <w:b w:val="0"/>
        </w:rPr>
        <w:t xml:space="preserve"> other natural hazards impacting industrial infrastructure.</w:t>
      </w:r>
    </w:p>
    <w:p w14:paraId="459D05E6" w14:textId="469F9B26" w:rsidR="00600535" w:rsidRPr="00B57B36" w:rsidRDefault="00600535" w:rsidP="00600535">
      <w:pPr>
        <w:pStyle w:val="CETAcknowledgementstitle"/>
      </w:pPr>
      <w:r w:rsidRPr="00B57B36">
        <w:t>Acknowledgments</w:t>
      </w:r>
    </w:p>
    <w:p w14:paraId="6D5232B0" w14:textId="77777777" w:rsidR="007C3727" w:rsidRPr="007C3727" w:rsidRDefault="007C3727" w:rsidP="007C3727">
      <w:pPr>
        <w:pStyle w:val="CETBodytext"/>
        <w:rPr>
          <w:lang w:val="en-GB"/>
        </w:rPr>
      </w:pPr>
      <w:r w:rsidRPr="007C3727">
        <w:rPr>
          <w:lang w:val="en-GB"/>
        </w:rPr>
        <w:t>This study was carried out within the RETURN Extended Partnership and received funding from the European</w:t>
      </w:r>
    </w:p>
    <w:p w14:paraId="33F8138F" w14:textId="25C51A03" w:rsidR="00600535" w:rsidRPr="00BD21C9" w:rsidRDefault="007C3727" w:rsidP="007C3727">
      <w:pPr>
        <w:pStyle w:val="CETBodytext"/>
        <w:rPr>
          <w:lang w:val="en-GB"/>
        </w:rPr>
      </w:pPr>
      <w:r w:rsidRPr="007C3727">
        <w:rPr>
          <w:lang w:val="en-GB"/>
        </w:rPr>
        <w:t>Union Next-GenerationEU (National Recovery and Resilience Plan – NRRP, Mission 4, Component 2, Investment</w:t>
      </w:r>
      <w:r>
        <w:rPr>
          <w:lang w:val="en-GB"/>
        </w:rPr>
        <w:t xml:space="preserve"> </w:t>
      </w:r>
      <w:r w:rsidRPr="007C3727">
        <w:rPr>
          <w:lang w:val="en-GB"/>
        </w:rPr>
        <w:t xml:space="preserve">1.3 – D.D. 1243 2/8/2022, PE0000005). </w:t>
      </w:r>
    </w:p>
    <w:p w14:paraId="433F0A8E" w14:textId="77777777" w:rsidR="00474B6B" w:rsidRDefault="00474B6B" w:rsidP="001A195D">
      <w:pPr>
        <w:pStyle w:val="CETReference"/>
      </w:pPr>
    </w:p>
    <w:p w14:paraId="2DABFEC2" w14:textId="77777777" w:rsidR="00474B6B" w:rsidRDefault="00474B6B" w:rsidP="001A195D">
      <w:pPr>
        <w:pStyle w:val="CETReference"/>
      </w:pPr>
    </w:p>
    <w:p w14:paraId="1B4BE87B" w14:textId="77777777" w:rsidR="00474B6B" w:rsidRDefault="00474B6B" w:rsidP="001A195D">
      <w:pPr>
        <w:pStyle w:val="CETReference"/>
      </w:pPr>
    </w:p>
    <w:p w14:paraId="619210E4" w14:textId="609DA83C" w:rsidR="001A195D" w:rsidRPr="00BD21C9" w:rsidRDefault="001A195D" w:rsidP="001A195D">
      <w:pPr>
        <w:pStyle w:val="CETReference"/>
      </w:pPr>
      <w:r w:rsidRPr="00BD21C9">
        <w:t>References</w:t>
      </w:r>
    </w:p>
    <w:p w14:paraId="133F8132" w14:textId="2F672410" w:rsidR="00FE666C" w:rsidRPr="00FE666C" w:rsidRDefault="00FE666C" w:rsidP="00FE666C">
      <w:pPr>
        <w:pStyle w:val="Bibliografia"/>
        <w:rPr>
          <w:rFonts w:cs="Arial"/>
        </w:rPr>
      </w:pPr>
      <w:r w:rsidRPr="004217AA">
        <w:rPr>
          <w:rFonts w:cs="Arial"/>
          <w:lang w:val="en-US"/>
        </w:rPr>
        <w:t>Casson Moreno, V., Reniers, G., Salzano, E., Cozzani, V., 2018</w:t>
      </w:r>
      <w:r w:rsidR="004217AA" w:rsidRPr="004217AA">
        <w:rPr>
          <w:rFonts w:cs="Arial"/>
          <w:lang w:val="en-US"/>
        </w:rPr>
        <w:t>,</w:t>
      </w:r>
      <w:r w:rsidRPr="004217AA">
        <w:rPr>
          <w:rFonts w:cs="Arial"/>
          <w:lang w:val="en-US"/>
        </w:rPr>
        <w:t xml:space="preserve"> </w:t>
      </w:r>
      <w:r w:rsidRPr="00FE666C">
        <w:rPr>
          <w:rFonts w:cs="Arial"/>
        </w:rPr>
        <w:t>Analysis of physical and cyber security-related events in the chemical and process industry</w:t>
      </w:r>
      <w:r w:rsidR="004217AA">
        <w:rPr>
          <w:rFonts w:cs="Arial"/>
        </w:rPr>
        <w:t xml:space="preserve">, </w:t>
      </w:r>
      <w:r w:rsidRPr="00FE666C">
        <w:rPr>
          <w:rFonts w:cs="Arial"/>
        </w:rPr>
        <w:t>Process Safety and Environmental Protection 116, 621–631</w:t>
      </w:r>
      <w:r w:rsidR="00DD3641">
        <w:rPr>
          <w:rFonts w:cs="Arial"/>
        </w:rPr>
        <w:t>,</w:t>
      </w:r>
      <w:r w:rsidRPr="00FE666C">
        <w:rPr>
          <w:rFonts w:cs="Arial"/>
        </w:rPr>
        <w:t xml:space="preserve"> </w:t>
      </w:r>
      <w:r w:rsidR="00DD3641">
        <w:rPr>
          <w:rFonts w:cs="Arial"/>
        </w:rPr>
        <w:t>&lt;</w:t>
      </w:r>
      <w:r w:rsidRPr="00FE666C">
        <w:rPr>
          <w:rFonts w:cs="Arial"/>
        </w:rPr>
        <w:t>10.1016/j.psep.2018.03.026</w:t>
      </w:r>
      <w:r w:rsidR="00DD3641">
        <w:rPr>
          <w:rFonts w:cs="Arial"/>
        </w:rPr>
        <w:t>&gt;</w:t>
      </w:r>
      <w:r w:rsidR="00255914">
        <w:rPr>
          <w:rFonts w:cs="Arial"/>
        </w:rPr>
        <w:t>.</w:t>
      </w:r>
    </w:p>
    <w:p w14:paraId="45875890" w14:textId="7DFF84E0" w:rsidR="00825FF9" w:rsidRDefault="00825FF9" w:rsidP="00825FF9">
      <w:pPr>
        <w:pStyle w:val="Bibliografia"/>
        <w:rPr>
          <w:rFonts w:cs="Arial"/>
        </w:rPr>
      </w:pPr>
      <w:r w:rsidRPr="00A226E9">
        <w:rPr>
          <w:rFonts w:cs="Arial"/>
          <w:lang w:val="en-US"/>
        </w:rPr>
        <w:t>Castro Rodriguez, D.J., Tufano, C., Vitale, M., Mietkiewicz, J., Baldissone, G., Barresi, A., Demichela, M., 2023</w:t>
      </w:r>
      <w:r w:rsidR="00C660B3">
        <w:rPr>
          <w:rFonts w:cs="Arial"/>
          <w:lang w:val="en-US"/>
        </w:rPr>
        <w:t>a</w:t>
      </w:r>
      <w:r w:rsidRPr="00A226E9">
        <w:rPr>
          <w:rFonts w:cs="Arial"/>
          <w:lang w:val="en-US"/>
        </w:rPr>
        <w:t xml:space="preserve">, </w:t>
      </w:r>
      <w:r w:rsidRPr="00FE666C">
        <w:rPr>
          <w:rFonts w:cs="Arial"/>
        </w:rPr>
        <w:t>Dataset: NaTech events triggered by lightning within the process industry</w:t>
      </w:r>
      <w:r>
        <w:rPr>
          <w:rFonts w:cs="Arial"/>
        </w:rPr>
        <w:t xml:space="preserve">, </w:t>
      </w:r>
      <w:r w:rsidRPr="00A226E9">
        <w:rPr>
          <w:rFonts w:cs="Arial"/>
        </w:rPr>
        <w:t xml:space="preserve">Mendeley Data, V4, </w:t>
      </w:r>
      <w:r w:rsidR="006D354E">
        <w:rPr>
          <w:rFonts w:cs="Arial"/>
        </w:rPr>
        <w:t>&lt;</w:t>
      </w:r>
      <w:r w:rsidRPr="00A226E9">
        <w:rPr>
          <w:rFonts w:cs="Arial"/>
        </w:rPr>
        <w:t>10.17632/fff64w3rzn.4</w:t>
      </w:r>
      <w:r w:rsidR="006D354E">
        <w:rPr>
          <w:rFonts w:cs="Arial"/>
        </w:rPr>
        <w:t>&gt;</w:t>
      </w:r>
      <w:r w:rsidR="00255914">
        <w:rPr>
          <w:rFonts w:cs="Arial"/>
        </w:rPr>
        <w:t>.</w:t>
      </w:r>
    </w:p>
    <w:p w14:paraId="2A4F8723" w14:textId="4E997F22" w:rsidR="00CC6E41" w:rsidRPr="00D33E8C" w:rsidRDefault="00CC6E41" w:rsidP="00CC6E41">
      <w:pPr>
        <w:pStyle w:val="Bibliografia"/>
        <w:rPr>
          <w:rFonts w:cs="Arial"/>
        </w:rPr>
      </w:pPr>
      <w:r w:rsidRPr="00D33E8C">
        <w:rPr>
          <w:rFonts w:cs="Arial"/>
        </w:rPr>
        <w:t>Castro Rodriguez, D</w:t>
      </w:r>
      <w:r>
        <w:rPr>
          <w:rFonts w:cs="Arial"/>
        </w:rPr>
        <w:t>.</w:t>
      </w:r>
      <w:r w:rsidRPr="00752D3C">
        <w:rPr>
          <w:rFonts w:cs="Arial"/>
          <w:lang w:val="en-US"/>
        </w:rPr>
        <w:t>J., Pilone, E., Camuncoli, G., Demichela, M., 2023</w:t>
      </w:r>
      <w:r w:rsidR="00C660B3">
        <w:rPr>
          <w:rFonts w:cs="Arial"/>
          <w:lang w:val="en-US"/>
        </w:rPr>
        <w:t>b</w:t>
      </w:r>
      <w:r w:rsidRPr="00752D3C">
        <w:rPr>
          <w:rFonts w:cs="Arial"/>
          <w:lang w:val="en-US"/>
        </w:rPr>
        <w:t xml:space="preserve">, </w:t>
      </w:r>
      <w:r w:rsidRPr="00D33E8C">
        <w:rPr>
          <w:rFonts w:cs="Arial"/>
        </w:rPr>
        <w:t>Implementation of a Natech Vulnerability Index in a Seveso Plant</w:t>
      </w:r>
      <w:r>
        <w:rPr>
          <w:rFonts w:cs="Arial"/>
        </w:rPr>
        <w:t>,</w:t>
      </w:r>
      <w:r w:rsidRPr="00D33E8C">
        <w:rPr>
          <w:rFonts w:cs="Arial"/>
        </w:rPr>
        <w:t xml:space="preserve"> Chemical Engineering Transactions 100, 43–48. </w:t>
      </w:r>
      <w:r w:rsidR="005171C8">
        <w:rPr>
          <w:rFonts w:cs="Arial"/>
        </w:rPr>
        <w:t>&lt;</w:t>
      </w:r>
      <w:r w:rsidRPr="00D33E8C">
        <w:rPr>
          <w:rFonts w:cs="Arial"/>
        </w:rPr>
        <w:t>10.3303/CET23100008</w:t>
      </w:r>
      <w:r w:rsidR="005171C8">
        <w:rPr>
          <w:rFonts w:cs="Arial"/>
        </w:rPr>
        <w:t>&gt;</w:t>
      </w:r>
      <w:r w:rsidR="00255914">
        <w:rPr>
          <w:rFonts w:cs="Arial"/>
        </w:rPr>
        <w:t>.</w:t>
      </w:r>
    </w:p>
    <w:p w14:paraId="064C1C21" w14:textId="71AF1BA2" w:rsidR="00FE666C" w:rsidRPr="00D1045E" w:rsidRDefault="00FE666C" w:rsidP="00FE666C">
      <w:pPr>
        <w:pStyle w:val="Bibliografia"/>
        <w:rPr>
          <w:rFonts w:cs="Arial"/>
          <w:lang w:val="it-IT"/>
        </w:rPr>
      </w:pPr>
      <w:r w:rsidRPr="00A226E9">
        <w:rPr>
          <w:rFonts w:cs="Arial"/>
          <w:lang w:val="en-US"/>
        </w:rPr>
        <w:t>Castro Rodríguez, D.J., Mietkiewicz, J., Vitale, M., Baldissone, G., Barresi, A.A., Demichela, M., 2024</w:t>
      </w:r>
      <w:r w:rsidR="00A226E9" w:rsidRPr="00A226E9">
        <w:rPr>
          <w:rFonts w:cs="Arial"/>
          <w:lang w:val="en-US"/>
        </w:rPr>
        <w:t>,</w:t>
      </w:r>
      <w:r w:rsidRPr="00A226E9">
        <w:rPr>
          <w:rFonts w:cs="Arial"/>
          <w:lang w:val="en-US"/>
        </w:rPr>
        <w:t xml:space="preserve"> </w:t>
      </w:r>
      <w:r w:rsidRPr="00FE666C">
        <w:rPr>
          <w:rFonts w:cs="Arial"/>
        </w:rPr>
        <w:t xml:space="preserve">NaTech </w:t>
      </w:r>
      <w:r w:rsidR="00825FF9">
        <w:rPr>
          <w:rFonts w:cs="Arial"/>
        </w:rPr>
        <w:t>t</w:t>
      </w:r>
      <w:r w:rsidR="00825FF9" w:rsidRPr="00FE666C">
        <w:rPr>
          <w:rFonts w:cs="Arial"/>
        </w:rPr>
        <w:t xml:space="preserve">riggered </w:t>
      </w:r>
      <w:r w:rsidRPr="00FE666C">
        <w:rPr>
          <w:rFonts w:cs="Arial"/>
        </w:rPr>
        <w:t xml:space="preserve">by </w:t>
      </w:r>
      <w:r w:rsidR="00825FF9">
        <w:rPr>
          <w:rFonts w:cs="Arial"/>
        </w:rPr>
        <w:t>l</w:t>
      </w:r>
      <w:r w:rsidR="00825FF9" w:rsidRPr="00FE666C">
        <w:rPr>
          <w:rFonts w:cs="Arial"/>
        </w:rPr>
        <w:t>ightning</w:t>
      </w:r>
      <w:r w:rsidRPr="00FE666C">
        <w:rPr>
          <w:rFonts w:cs="Arial"/>
        </w:rPr>
        <w:t xml:space="preserve">: Novel </w:t>
      </w:r>
      <w:r w:rsidR="00825FF9">
        <w:rPr>
          <w:rFonts w:cs="Arial"/>
        </w:rPr>
        <w:t>i</w:t>
      </w:r>
      <w:r w:rsidR="00825FF9" w:rsidRPr="00FE666C">
        <w:rPr>
          <w:rFonts w:cs="Arial"/>
        </w:rPr>
        <w:t xml:space="preserve">nsights </w:t>
      </w:r>
      <w:r w:rsidR="00A226E9">
        <w:rPr>
          <w:rFonts w:cs="Arial"/>
        </w:rPr>
        <w:t>f</w:t>
      </w:r>
      <w:r w:rsidRPr="00FE666C">
        <w:rPr>
          <w:rFonts w:cs="Arial"/>
        </w:rPr>
        <w:t xml:space="preserve">rom </w:t>
      </w:r>
      <w:r w:rsidR="00825FF9">
        <w:rPr>
          <w:rFonts w:cs="Arial"/>
        </w:rPr>
        <w:t>p</w:t>
      </w:r>
      <w:r w:rsidR="00825FF9" w:rsidRPr="00FE666C">
        <w:rPr>
          <w:rFonts w:cs="Arial"/>
        </w:rPr>
        <w:t xml:space="preserve">ast </w:t>
      </w:r>
      <w:r w:rsidR="00825FF9">
        <w:rPr>
          <w:rFonts w:cs="Arial"/>
        </w:rPr>
        <w:t>e</w:t>
      </w:r>
      <w:r w:rsidR="00825FF9" w:rsidRPr="00FE666C">
        <w:rPr>
          <w:rFonts w:cs="Arial"/>
        </w:rPr>
        <w:t xml:space="preserve">vents </w:t>
      </w:r>
      <w:r w:rsidRPr="00FE666C">
        <w:rPr>
          <w:rFonts w:cs="Arial"/>
        </w:rPr>
        <w:t xml:space="preserve">in the </w:t>
      </w:r>
      <w:r w:rsidR="00825FF9">
        <w:rPr>
          <w:rFonts w:cs="Arial"/>
        </w:rPr>
        <w:t>p</w:t>
      </w:r>
      <w:r w:rsidR="00825FF9" w:rsidRPr="00FE666C">
        <w:rPr>
          <w:rFonts w:cs="Arial"/>
        </w:rPr>
        <w:t xml:space="preserve">rocess </w:t>
      </w:r>
      <w:r w:rsidR="00825FF9">
        <w:rPr>
          <w:rFonts w:cs="Arial"/>
        </w:rPr>
        <w:t>i</w:t>
      </w:r>
      <w:r w:rsidR="00825FF9" w:rsidRPr="00FE666C">
        <w:rPr>
          <w:rFonts w:cs="Arial"/>
        </w:rPr>
        <w:t>ndustry</w:t>
      </w:r>
      <w:r w:rsidR="00825FF9">
        <w:rPr>
          <w:rFonts w:cs="Arial"/>
        </w:rPr>
        <w:t xml:space="preserve">. </w:t>
      </w:r>
      <w:r w:rsidR="00825FF9" w:rsidRPr="00D1045E">
        <w:rPr>
          <w:rFonts w:cs="Arial"/>
          <w:lang w:val="it-IT"/>
        </w:rPr>
        <w:t xml:space="preserve">Preprint available at </w:t>
      </w:r>
      <w:r w:rsidR="00A226E9" w:rsidRPr="00D1045E">
        <w:rPr>
          <w:rFonts w:cs="Arial"/>
          <w:lang w:val="it-IT"/>
        </w:rPr>
        <w:t>SSRN</w:t>
      </w:r>
      <w:r w:rsidRPr="00D1045E">
        <w:rPr>
          <w:rFonts w:cs="Arial"/>
          <w:lang w:val="it-IT"/>
        </w:rPr>
        <w:t xml:space="preserve"> </w:t>
      </w:r>
      <w:r w:rsidR="005171C8">
        <w:rPr>
          <w:rFonts w:cs="Arial"/>
          <w:lang w:val="it-IT"/>
        </w:rPr>
        <w:t>&lt;</w:t>
      </w:r>
      <w:r w:rsidRPr="00D1045E">
        <w:rPr>
          <w:rFonts w:cs="Arial"/>
          <w:lang w:val="it-IT"/>
        </w:rPr>
        <w:t>10.2139/ssrn.4671650</w:t>
      </w:r>
      <w:r w:rsidR="005171C8">
        <w:rPr>
          <w:rFonts w:cs="Arial"/>
          <w:lang w:val="it-IT"/>
        </w:rPr>
        <w:t>&gt;</w:t>
      </w:r>
      <w:r w:rsidR="00255914">
        <w:rPr>
          <w:rFonts w:cs="Arial"/>
          <w:lang w:val="it-IT"/>
        </w:rPr>
        <w:t>.</w:t>
      </w:r>
    </w:p>
    <w:p w14:paraId="183993F6" w14:textId="65C3FF59" w:rsidR="00FE666C" w:rsidRPr="00FE666C" w:rsidRDefault="00FE666C" w:rsidP="00FE666C">
      <w:pPr>
        <w:pStyle w:val="Bibliografia"/>
        <w:rPr>
          <w:rFonts w:cs="Arial"/>
          <w:lang w:val="it-IT"/>
        </w:rPr>
      </w:pPr>
      <w:r w:rsidRPr="00FE666C">
        <w:rPr>
          <w:rFonts w:cs="Arial"/>
          <w:lang w:val="it-IT"/>
        </w:rPr>
        <w:t>Comitato Elettrotecnico Italiano, 2022</w:t>
      </w:r>
      <w:r w:rsidR="00FD6283">
        <w:rPr>
          <w:rFonts w:cs="Arial"/>
          <w:lang w:val="it-IT"/>
        </w:rPr>
        <w:t>,</w:t>
      </w:r>
      <w:r w:rsidRPr="00FE666C">
        <w:rPr>
          <w:rFonts w:cs="Arial"/>
          <w:lang w:val="it-IT"/>
        </w:rPr>
        <w:t xml:space="preserve"> CEI PRODIS: </w:t>
      </w:r>
      <w:r w:rsidR="00FD6283">
        <w:rPr>
          <w:rFonts w:cs="Arial"/>
          <w:lang w:val="it-IT"/>
        </w:rPr>
        <w:t>L</w:t>
      </w:r>
      <w:r w:rsidRPr="00FE666C">
        <w:rPr>
          <w:rFonts w:cs="Arial"/>
          <w:lang w:val="it-IT"/>
        </w:rPr>
        <w:t>’applicazione online del CEI che consente l’accesso ai dati di DENSITÀ CERAUNICA</w:t>
      </w:r>
      <w:r w:rsidR="00ED70FC">
        <w:rPr>
          <w:rFonts w:cs="Arial"/>
          <w:lang w:val="it-IT"/>
        </w:rPr>
        <w:t>,</w:t>
      </w:r>
      <w:r w:rsidR="0061738C">
        <w:rPr>
          <w:rFonts w:cs="Arial"/>
          <w:lang w:val="it-IT"/>
        </w:rPr>
        <w:t xml:space="preserve"> </w:t>
      </w:r>
      <w:r w:rsidR="005171C8">
        <w:rPr>
          <w:rFonts w:cs="Arial"/>
          <w:lang w:val="it-IT"/>
        </w:rPr>
        <w:t>&lt;</w:t>
      </w:r>
      <w:r w:rsidR="00ED70FC" w:rsidRPr="00ED70FC">
        <w:rPr>
          <w:rFonts w:cs="Arial"/>
          <w:lang w:val="it-IT"/>
        </w:rPr>
        <w:t>prodis.ceinorme.it/home.html?sso=y</w:t>
      </w:r>
      <w:r w:rsidR="005171C8">
        <w:rPr>
          <w:rFonts w:cs="Arial"/>
          <w:lang w:val="it-IT"/>
        </w:rPr>
        <w:t>&gt;</w:t>
      </w:r>
      <w:r w:rsidR="00255914">
        <w:rPr>
          <w:rFonts w:cs="Arial"/>
          <w:lang w:val="it-IT"/>
        </w:rPr>
        <w:t>.</w:t>
      </w:r>
    </w:p>
    <w:p w14:paraId="1523D9BD" w14:textId="754EC9C4" w:rsidR="009F2316" w:rsidRDefault="00FE666C" w:rsidP="009F2316">
      <w:pPr>
        <w:pStyle w:val="Bibliografia"/>
        <w:rPr>
          <w:rFonts w:cs="Arial"/>
          <w:lang w:val="en-US"/>
        </w:rPr>
      </w:pPr>
      <w:r w:rsidRPr="004217AA">
        <w:rPr>
          <w:rFonts w:cs="Arial"/>
          <w:lang w:val="en-US"/>
        </w:rPr>
        <w:t>Cozzani, V., Campedel, M., Renni, E., Krausmann, E., 2010</w:t>
      </w:r>
      <w:r w:rsidR="004217AA" w:rsidRPr="004217AA">
        <w:rPr>
          <w:rFonts w:cs="Arial"/>
          <w:lang w:val="en-US"/>
        </w:rPr>
        <w:t>,</w:t>
      </w:r>
      <w:r w:rsidRPr="004217AA">
        <w:rPr>
          <w:rFonts w:cs="Arial"/>
          <w:lang w:val="en-US"/>
        </w:rPr>
        <w:t xml:space="preserve"> </w:t>
      </w:r>
      <w:r w:rsidRPr="00FE666C">
        <w:rPr>
          <w:rFonts w:cs="Arial"/>
        </w:rPr>
        <w:t>Industrial accidents triggered by flood events: Analysis of past accidents</w:t>
      </w:r>
      <w:r w:rsidR="004217AA">
        <w:rPr>
          <w:rFonts w:cs="Arial"/>
        </w:rPr>
        <w:t>,</w:t>
      </w:r>
      <w:r w:rsidRPr="00FE666C">
        <w:rPr>
          <w:rFonts w:cs="Arial"/>
        </w:rPr>
        <w:t xml:space="preserve"> Journal of Hazardous Materials 175, 501–509. </w:t>
      </w:r>
      <w:r w:rsidR="005171C8" w:rsidRPr="001306B1">
        <w:t>&lt;10.1016/j.jhazmat.2009.10.033</w:t>
      </w:r>
      <w:r w:rsidR="005171C8">
        <w:rPr>
          <w:rFonts w:cs="Arial"/>
          <w:lang w:val="en-US"/>
        </w:rPr>
        <w:t>&gt;</w:t>
      </w:r>
      <w:r w:rsidR="00255914">
        <w:rPr>
          <w:rFonts w:cs="Arial"/>
          <w:lang w:val="en-US"/>
        </w:rPr>
        <w:t>.</w:t>
      </w:r>
    </w:p>
    <w:p w14:paraId="2AEF1C9A" w14:textId="77777777" w:rsidR="00124056" w:rsidRDefault="00124056" w:rsidP="00124056">
      <w:pPr>
        <w:pStyle w:val="Bibliografia"/>
        <w:rPr>
          <w:rFonts w:cs="Arial"/>
          <w:lang w:val="en-US"/>
        </w:rPr>
      </w:pPr>
      <w:r w:rsidRPr="00C7682F">
        <w:rPr>
          <w:rFonts w:cs="Arial"/>
          <w:lang w:val="en-US"/>
        </w:rPr>
        <w:t xml:space="preserve">European </w:t>
      </w:r>
      <w:r>
        <w:rPr>
          <w:rFonts w:cs="Arial"/>
          <w:lang w:val="en-US"/>
        </w:rPr>
        <w:t>Comission</w:t>
      </w:r>
      <w:r w:rsidRPr="00C7682F">
        <w:rPr>
          <w:rFonts w:cs="Arial"/>
          <w:lang w:val="en-US"/>
        </w:rPr>
        <w:t>, 2012</w:t>
      </w:r>
      <w:r>
        <w:rPr>
          <w:rFonts w:cs="Arial"/>
          <w:lang w:val="en-US"/>
        </w:rPr>
        <w:t>,</w:t>
      </w:r>
      <w:r w:rsidRPr="00C7682F">
        <w:rPr>
          <w:rFonts w:cs="Arial"/>
          <w:lang w:val="en-US"/>
        </w:rPr>
        <w:t xml:space="preserve"> Directive 2012/18/EU on the control of major-accident hazards involving dangerous substances, amending and subsequently repealing Council Directive 96/82/EC</w:t>
      </w:r>
      <w:r>
        <w:rPr>
          <w:rFonts w:cs="Arial"/>
          <w:lang w:val="en-US"/>
        </w:rPr>
        <w:t xml:space="preserve">, </w:t>
      </w:r>
      <w:r w:rsidRPr="00BD5687">
        <w:rPr>
          <w:rFonts w:cs="Arial"/>
          <w:lang w:val="en-US"/>
        </w:rPr>
        <w:t>Official Journal of the European Union</w:t>
      </w:r>
      <w:r>
        <w:rPr>
          <w:rFonts w:cs="Arial"/>
          <w:lang w:val="en-US"/>
        </w:rPr>
        <w:t>, L 197/1, 1-37.</w:t>
      </w:r>
    </w:p>
    <w:p w14:paraId="053A4E5F" w14:textId="509E0924" w:rsidR="004866AF" w:rsidRPr="00A965C3" w:rsidRDefault="00530032" w:rsidP="00FE666C">
      <w:pPr>
        <w:pStyle w:val="Bibliografia"/>
        <w:rPr>
          <w:rFonts w:cs="Arial"/>
        </w:rPr>
      </w:pPr>
      <w:r w:rsidRPr="003103FE">
        <w:rPr>
          <w:rFonts w:cs="Arial"/>
          <w:lang w:val="en-US"/>
        </w:rPr>
        <w:t xml:space="preserve">European Commission, 2018. Report from the Commission to the European Parliament and the Council on the implementation of the EU strategy on adaptation to climate change (No. </w:t>
      </w:r>
      <w:r w:rsidRPr="00A965C3">
        <w:rPr>
          <w:rFonts w:cs="Arial"/>
        </w:rPr>
        <w:t>COM(2018) 738 final). Brussels, Belgium.</w:t>
      </w:r>
    </w:p>
    <w:p w14:paraId="5531B616" w14:textId="77777777" w:rsidR="00530032" w:rsidRDefault="00530032" w:rsidP="00530032">
      <w:pPr>
        <w:pStyle w:val="Bibliografia"/>
        <w:rPr>
          <w:rFonts w:cs="Arial"/>
          <w:lang w:val="en-US"/>
        </w:rPr>
      </w:pPr>
      <w:r w:rsidRPr="009F2316">
        <w:rPr>
          <w:rFonts w:cs="Arial"/>
          <w:lang w:val="en-US"/>
        </w:rPr>
        <w:t xml:space="preserve">European </w:t>
      </w:r>
      <w:r>
        <w:rPr>
          <w:rFonts w:cs="Arial"/>
          <w:lang w:val="en-US"/>
        </w:rPr>
        <w:t>Commission</w:t>
      </w:r>
      <w:r w:rsidRPr="009F2316">
        <w:rPr>
          <w:rFonts w:cs="Arial"/>
          <w:lang w:val="en-US"/>
        </w:rPr>
        <w:t>, 2022</w:t>
      </w:r>
      <w:r>
        <w:rPr>
          <w:rFonts w:cs="Arial"/>
          <w:lang w:val="en-US"/>
        </w:rPr>
        <w:t>,</w:t>
      </w:r>
      <w:r w:rsidRPr="009F2316">
        <w:rPr>
          <w:rFonts w:cs="Arial"/>
          <w:lang w:val="en-US"/>
        </w:rPr>
        <w:t xml:space="preserve"> Directive (EU) 2022/2557 of the European Parliament and of the Council of 14 December 2022 on the resilience of critical entities and repealing Council Directive 2008/114/EC, </w:t>
      </w:r>
      <w:r w:rsidRPr="0022346E">
        <w:rPr>
          <w:rFonts w:cs="Arial"/>
          <w:lang w:val="en-US"/>
        </w:rPr>
        <w:t>Official Journal of the European Union</w:t>
      </w:r>
      <w:r>
        <w:rPr>
          <w:rFonts w:cs="Arial"/>
          <w:lang w:val="en-US"/>
        </w:rPr>
        <w:t xml:space="preserve">, </w:t>
      </w:r>
      <w:r w:rsidRPr="0022346E">
        <w:rPr>
          <w:rFonts w:cs="Arial"/>
          <w:lang w:val="en-US"/>
        </w:rPr>
        <w:t>L 333/164</w:t>
      </w:r>
      <w:r>
        <w:rPr>
          <w:rFonts w:cs="Arial"/>
          <w:lang w:val="en-US"/>
        </w:rPr>
        <w:t>, 1-35.</w:t>
      </w:r>
    </w:p>
    <w:p w14:paraId="2A844910" w14:textId="328FF2AF" w:rsidR="009B7547" w:rsidRPr="001306B1" w:rsidRDefault="009B7547" w:rsidP="00FE666C">
      <w:pPr>
        <w:pStyle w:val="Bibliografia"/>
        <w:rPr>
          <w:rFonts w:cs="Arial"/>
          <w:lang w:val="it-IT"/>
        </w:rPr>
      </w:pPr>
      <w:r w:rsidRPr="001306B1">
        <w:rPr>
          <w:rFonts w:cs="Arial"/>
          <w:lang w:val="it-IT"/>
        </w:rPr>
        <w:t>ISPRA, 2023</w:t>
      </w:r>
      <w:r>
        <w:rPr>
          <w:rFonts w:cs="Arial"/>
          <w:lang w:val="it-IT"/>
        </w:rPr>
        <w:t>,</w:t>
      </w:r>
      <w:r w:rsidRPr="001306B1">
        <w:rPr>
          <w:rFonts w:cs="Arial"/>
          <w:lang w:val="it-IT"/>
        </w:rPr>
        <w:t xml:space="preserve"> Inventario Seveso D.Lgs. 105/2015</w:t>
      </w:r>
      <w:r>
        <w:rPr>
          <w:rFonts w:cs="Arial"/>
          <w:lang w:val="it-IT"/>
        </w:rPr>
        <w:t xml:space="preserve">, </w:t>
      </w:r>
      <w:r w:rsidRPr="001306B1">
        <w:rPr>
          <w:rFonts w:cs="Arial"/>
          <w:lang w:val="it-IT"/>
        </w:rPr>
        <w:t>Inventario degli stabilimenti a rischio di incidenti rilevanti connessi con sostanze pericolose</w:t>
      </w:r>
      <w:r>
        <w:rPr>
          <w:rFonts w:cs="Arial"/>
          <w:lang w:val="it-IT"/>
        </w:rPr>
        <w:t>,</w:t>
      </w:r>
      <w:r w:rsidRPr="001306B1">
        <w:rPr>
          <w:rFonts w:cs="Arial"/>
          <w:lang w:val="it-IT"/>
        </w:rPr>
        <w:t xml:space="preserve"> </w:t>
      </w:r>
      <w:r w:rsidR="00F609D6">
        <w:rPr>
          <w:rFonts w:cs="Arial"/>
          <w:lang w:val="it-IT"/>
        </w:rPr>
        <w:t>&lt;</w:t>
      </w:r>
      <w:r w:rsidRPr="001306B1">
        <w:rPr>
          <w:rFonts w:cs="Arial"/>
          <w:lang w:val="it-IT"/>
        </w:rPr>
        <w:t>rischioindustriale.isprambiente.gov.it/seveso-query-105/Default.php</w:t>
      </w:r>
      <w:r w:rsidR="00F609D6">
        <w:rPr>
          <w:rFonts w:cs="Arial"/>
          <w:lang w:val="it-IT"/>
        </w:rPr>
        <w:t>&gt;</w:t>
      </w:r>
      <w:r w:rsidRPr="001306B1">
        <w:rPr>
          <w:rFonts w:cs="Arial"/>
          <w:lang w:val="it-IT"/>
        </w:rPr>
        <w:t xml:space="preserve"> (accessed 1.5.24).</w:t>
      </w:r>
    </w:p>
    <w:p w14:paraId="21FDFCE9" w14:textId="72C5A327" w:rsidR="00FE666C" w:rsidRPr="00FE666C" w:rsidRDefault="00FE666C" w:rsidP="00FE666C">
      <w:pPr>
        <w:pStyle w:val="Bibliografia"/>
        <w:rPr>
          <w:rFonts w:cs="Arial"/>
        </w:rPr>
      </w:pPr>
      <w:r w:rsidRPr="00FE666C">
        <w:rPr>
          <w:rFonts w:cs="Arial"/>
        </w:rPr>
        <w:t>Krausmann, E., Necci, A., 2021</w:t>
      </w:r>
      <w:r w:rsidR="00701547">
        <w:rPr>
          <w:rFonts w:cs="Arial"/>
        </w:rPr>
        <w:t>,</w:t>
      </w:r>
      <w:r w:rsidRPr="00FE666C">
        <w:rPr>
          <w:rFonts w:cs="Arial"/>
        </w:rPr>
        <w:t xml:space="preserve"> Thinking the unthinkable: A perspective on Natech risks and Black Swans</w:t>
      </w:r>
      <w:r w:rsidR="00701547">
        <w:rPr>
          <w:rFonts w:cs="Arial"/>
        </w:rPr>
        <w:t>,</w:t>
      </w:r>
      <w:r w:rsidRPr="00FE666C">
        <w:rPr>
          <w:rFonts w:cs="Arial"/>
        </w:rPr>
        <w:t xml:space="preserve"> Safety Science 139, 105255</w:t>
      </w:r>
      <w:r w:rsidR="00701547">
        <w:rPr>
          <w:rFonts w:cs="Arial"/>
        </w:rPr>
        <w:t>,</w:t>
      </w:r>
      <w:r w:rsidRPr="00FE666C">
        <w:rPr>
          <w:rFonts w:cs="Arial"/>
        </w:rPr>
        <w:t xml:space="preserve"> </w:t>
      </w:r>
      <w:r w:rsidR="00255914">
        <w:rPr>
          <w:rFonts w:cs="Arial"/>
        </w:rPr>
        <w:t>&lt;</w:t>
      </w:r>
      <w:r w:rsidRPr="00FE666C">
        <w:rPr>
          <w:rFonts w:cs="Arial"/>
        </w:rPr>
        <w:t>10.1016/j.ssci.2021.105255</w:t>
      </w:r>
      <w:r w:rsidR="00255914">
        <w:rPr>
          <w:rFonts w:cs="Arial"/>
        </w:rPr>
        <w:t>&gt;.</w:t>
      </w:r>
    </w:p>
    <w:p w14:paraId="27DC3D74" w14:textId="2310F1B3" w:rsidR="00FE666C" w:rsidRPr="004217AA" w:rsidRDefault="00FE666C" w:rsidP="00FE666C">
      <w:pPr>
        <w:pStyle w:val="Bibliografia"/>
        <w:rPr>
          <w:rFonts w:cs="Arial"/>
          <w:lang w:val="en-US"/>
        </w:rPr>
      </w:pPr>
      <w:r w:rsidRPr="00FE666C">
        <w:rPr>
          <w:rFonts w:cs="Arial"/>
        </w:rPr>
        <w:t>Krausmann, E., Renni, E., Campedel, M., Cozzani, V., 2011</w:t>
      </w:r>
      <w:r w:rsidR="004217AA">
        <w:rPr>
          <w:rFonts w:cs="Arial"/>
        </w:rPr>
        <w:t>,</w:t>
      </w:r>
      <w:r w:rsidRPr="00FE666C">
        <w:rPr>
          <w:rFonts w:cs="Arial"/>
        </w:rPr>
        <w:t xml:space="preserve"> Industrial accidents triggered by earthquakes, floods and lightning: lessons learned from a database analysis</w:t>
      </w:r>
      <w:r w:rsidR="004217AA">
        <w:rPr>
          <w:rFonts w:cs="Arial"/>
        </w:rPr>
        <w:t>,</w:t>
      </w:r>
      <w:r w:rsidRPr="00FE666C">
        <w:rPr>
          <w:rFonts w:cs="Arial"/>
        </w:rPr>
        <w:t xml:space="preserve"> </w:t>
      </w:r>
      <w:r w:rsidRPr="004217AA">
        <w:rPr>
          <w:rFonts w:cs="Arial"/>
          <w:lang w:val="en-US"/>
        </w:rPr>
        <w:t>Nat</w:t>
      </w:r>
      <w:r w:rsidR="00AC25AD">
        <w:rPr>
          <w:rFonts w:cs="Arial"/>
          <w:lang w:val="en-US"/>
        </w:rPr>
        <w:t>ural</w:t>
      </w:r>
      <w:r w:rsidRPr="004217AA">
        <w:rPr>
          <w:rFonts w:cs="Arial"/>
          <w:lang w:val="en-US"/>
        </w:rPr>
        <w:t xml:space="preserve"> Hazards 59, 285–300</w:t>
      </w:r>
      <w:r w:rsidR="00377861">
        <w:rPr>
          <w:rFonts w:cs="Arial"/>
          <w:lang w:val="en-US"/>
        </w:rPr>
        <w:t xml:space="preserve">, </w:t>
      </w:r>
      <w:r w:rsidR="00255914">
        <w:rPr>
          <w:rFonts w:cs="Arial"/>
        </w:rPr>
        <w:t>&lt;</w:t>
      </w:r>
      <w:r w:rsidR="00377861" w:rsidRPr="00FE666C">
        <w:rPr>
          <w:rFonts w:cs="Arial"/>
        </w:rPr>
        <w:t>10.1016/j.ssci.2021.105255</w:t>
      </w:r>
      <w:r w:rsidR="00255914">
        <w:rPr>
          <w:rFonts w:cs="Arial"/>
        </w:rPr>
        <w:t>&gt;</w:t>
      </w:r>
      <w:r w:rsidRPr="004217AA">
        <w:rPr>
          <w:rFonts w:cs="Arial"/>
          <w:lang w:val="en-US"/>
        </w:rPr>
        <w:t xml:space="preserve">. </w:t>
      </w:r>
    </w:p>
    <w:p w14:paraId="6D75E9D9" w14:textId="348AD4A2" w:rsidR="00AC25AD" w:rsidRPr="00FE666C" w:rsidRDefault="00AC25AD" w:rsidP="00AC25AD">
      <w:pPr>
        <w:pStyle w:val="Bibliografia"/>
        <w:rPr>
          <w:rFonts w:cs="Arial"/>
        </w:rPr>
      </w:pPr>
      <w:r w:rsidRPr="00FE666C">
        <w:rPr>
          <w:rFonts w:cs="Arial"/>
        </w:rPr>
        <w:t>Krausmann, E., Cruz, A.M., Salzano, E. (Eds.), 2017</w:t>
      </w:r>
      <w:r>
        <w:rPr>
          <w:rFonts w:cs="Arial"/>
        </w:rPr>
        <w:t>,</w:t>
      </w:r>
      <w:r w:rsidRPr="00FE666C">
        <w:rPr>
          <w:rFonts w:cs="Arial"/>
        </w:rPr>
        <w:t xml:space="preserve"> Glossary, in: </w:t>
      </w:r>
      <w:r w:rsidRPr="00D1045E">
        <w:rPr>
          <w:rFonts w:cs="Arial"/>
          <w:i/>
          <w:iCs/>
        </w:rPr>
        <w:t>Natech Risk Assessment and Management</w:t>
      </w:r>
      <w:r w:rsidR="00255914">
        <w:rPr>
          <w:rFonts w:cs="Arial"/>
        </w:rPr>
        <w:t xml:space="preserve">, </w:t>
      </w:r>
      <w:r w:rsidRPr="00FE666C">
        <w:rPr>
          <w:rFonts w:cs="Arial"/>
        </w:rPr>
        <w:t xml:space="preserve">Elsevier, pp. 241–243 </w:t>
      </w:r>
      <w:r w:rsidR="00255914">
        <w:rPr>
          <w:rFonts w:cs="Arial"/>
        </w:rPr>
        <w:t>&lt;</w:t>
      </w:r>
      <w:r w:rsidRPr="00FE666C">
        <w:rPr>
          <w:rFonts w:cs="Arial"/>
        </w:rPr>
        <w:t>10.1016/B978-0-12-803807-9.00019-X</w:t>
      </w:r>
      <w:r w:rsidR="00255914">
        <w:rPr>
          <w:rFonts w:cs="Arial"/>
        </w:rPr>
        <w:t>&gt;.</w:t>
      </w:r>
    </w:p>
    <w:p w14:paraId="472E5791" w14:textId="4D0C1A0D" w:rsidR="00FE666C" w:rsidRPr="00FE666C" w:rsidRDefault="00FE666C" w:rsidP="00FE666C">
      <w:pPr>
        <w:pStyle w:val="Bibliografia"/>
        <w:rPr>
          <w:rFonts w:cs="Arial"/>
        </w:rPr>
      </w:pPr>
      <w:r w:rsidRPr="004217AA">
        <w:rPr>
          <w:rFonts w:cs="Arial"/>
          <w:lang w:val="en-US"/>
        </w:rPr>
        <w:t>Misuri, A., Antonioni, G., Cozzani, V., 2020</w:t>
      </w:r>
      <w:r w:rsidR="004217AA" w:rsidRPr="004217AA">
        <w:rPr>
          <w:rFonts w:cs="Arial"/>
          <w:lang w:val="en-US"/>
        </w:rPr>
        <w:t>,</w:t>
      </w:r>
      <w:r w:rsidRPr="004217AA">
        <w:rPr>
          <w:rFonts w:cs="Arial"/>
          <w:lang w:val="en-US"/>
        </w:rPr>
        <w:t xml:space="preserve"> </w:t>
      </w:r>
      <w:r w:rsidRPr="00FE666C">
        <w:rPr>
          <w:rFonts w:cs="Arial"/>
        </w:rPr>
        <w:t>Quantitative risk assessment of domino effect in Natech scenarios triggered by lightning</w:t>
      </w:r>
      <w:r w:rsidR="004217AA">
        <w:rPr>
          <w:rFonts w:cs="Arial"/>
        </w:rPr>
        <w:t>,</w:t>
      </w:r>
      <w:r w:rsidRPr="00FE666C">
        <w:rPr>
          <w:rFonts w:cs="Arial"/>
        </w:rPr>
        <w:t xml:space="preserve"> Journal of Loss Prevention in the Process Industries 64, 104095</w:t>
      </w:r>
      <w:r w:rsidR="004217AA">
        <w:rPr>
          <w:rFonts w:cs="Arial"/>
        </w:rPr>
        <w:t>,</w:t>
      </w:r>
      <w:r w:rsidRPr="00FE666C">
        <w:rPr>
          <w:rFonts w:cs="Arial"/>
        </w:rPr>
        <w:t xml:space="preserve"> </w:t>
      </w:r>
      <w:r w:rsidR="006F04BE">
        <w:rPr>
          <w:rFonts w:cs="Arial"/>
        </w:rPr>
        <w:t>&lt;</w:t>
      </w:r>
      <w:r w:rsidRPr="00FE666C">
        <w:rPr>
          <w:rFonts w:cs="Arial"/>
        </w:rPr>
        <w:t>10.1016/j.jlp.2020.104095</w:t>
      </w:r>
      <w:r w:rsidR="006F04BE">
        <w:rPr>
          <w:rFonts w:cs="Arial"/>
        </w:rPr>
        <w:t>&gt;.</w:t>
      </w:r>
    </w:p>
    <w:p w14:paraId="57E23A01" w14:textId="75744C5F" w:rsidR="00FE666C" w:rsidRPr="00FE666C" w:rsidRDefault="00FE666C" w:rsidP="00FE666C">
      <w:pPr>
        <w:pStyle w:val="Bibliografia"/>
        <w:rPr>
          <w:rFonts w:cs="Arial"/>
        </w:rPr>
      </w:pPr>
      <w:r w:rsidRPr="004217AA">
        <w:rPr>
          <w:rFonts w:cs="Arial"/>
          <w:lang w:val="en-US"/>
        </w:rPr>
        <w:t>Necci, A., Argenti, F., Landucci, G., Cozzani, V., 2014</w:t>
      </w:r>
      <w:r w:rsidR="004217AA" w:rsidRPr="004217AA">
        <w:rPr>
          <w:rFonts w:cs="Arial"/>
          <w:lang w:val="en-US"/>
        </w:rPr>
        <w:t>,</w:t>
      </w:r>
      <w:r w:rsidRPr="004217AA">
        <w:rPr>
          <w:rFonts w:cs="Arial"/>
          <w:lang w:val="en-US"/>
        </w:rPr>
        <w:t xml:space="preserve"> </w:t>
      </w:r>
      <w:r w:rsidRPr="00FE666C">
        <w:rPr>
          <w:rFonts w:cs="Arial"/>
        </w:rPr>
        <w:t>Accident scenarios triggered by lightning strike on atmospheric storage tanks</w:t>
      </w:r>
      <w:r w:rsidR="004217AA">
        <w:rPr>
          <w:rFonts w:cs="Arial"/>
        </w:rPr>
        <w:t>,</w:t>
      </w:r>
      <w:r w:rsidRPr="00FE666C">
        <w:rPr>
          <w:rFonts w:cs="Arial"/>
        </w:rPr>
        <w:t xml:space="preserve"> Reliability Engineering &amp; System Safety 127, 30–46</w:t>
      </w:r>
      <w:r w:rsidR="006F04BE">
        <w:rPr>
          <w:rFonts w:cs="Arial"/>
        </w:rPr>
        <w:t>,</w:t>
      </w:r>
      <w:r w:rsidRPr="00FE666C">
        <w:rPr>
          <w:rFonts w:cs="Arial"/>
        </w:rPr>
        <w:t xml:space="preserve"> </w:t>
      </w:r>
      <w:r w:rsidR="006F04BE">
        <w:rPr>
          <w:rFonts w:cs="Arial"/>
        </w:rPr>
        <w:t>&lt;</w:t>
      </w:r>
      <w:r w:rsidRPr="00FE666C">
        <w:rPr>
          <w:rFonts w:cs="Arial"/>
        </w:rPr>
        <w:t>10.1016/j.ress.2014.02.005</w:t>
      </w:r>
      <w:r w:rsidR="006F04BE">
        <w:rPr>
          <w:rFonts w:cs="Arial"/>
        </w:rPr>
        <w:t>&gt;.</w:t>
      </w:r>
    </w:p>
    <w:p w14:paraId="1CD81A86" w14:textId="09A2BE45" w:rsidR="00FE666C" w:rsidRPr="00FE666C" w:rsidRDefault="00FE666C" w:rsidP="00FE666C">
      <w:pPr>
        <w:pStyle w:val="Bibliografia"/>
        <w:rPr>
          <w:rFonts w:cs="Arial"/>
        </w:rPr>
      </w:pPr>
      <w:r w:rsidRPr="00FE666C">
        <w:rPr>
          <w:rFonts w:cs="Arial"/>
        </w:rPr>
        <w:t>Reniers, G., Khakzad, N., Cozzani, V., Khan, F., 2018</w:t>
      </w:r>
      <w:r w:rsidR="004217AA">
        <w:rPr>
          <w:rFonts w:cs="Arial"/>
        </w:rPr>
        <w:t>,</w:t>
      </w:r>
      <w:r w:rsidRPr="00FE666C">
        <w:rPr>
          <w:rFonts w:cs="Arial"/>
        </w:rPr>
        <w:t xml:space="preserve"> The impact of nature on chemical industrial facilities: Dealing with challenges for creating resilient chemical industrial parks</w:t>
      </w:r>
      <w:r w:rsidR="004217AA">
        <w:rPr>
          <w:rFonts w:cs="Arial"/>
        </w:rPr>
        <w:t>,</w:t>
      </w:r>
      <w:r w:rsidRPr="00FE666C">
        <w:rPr>
          <w:rFonts w:cs="Arial"/>
        </w:rPr>
        <w:t xml:space="preserve"> Journal of Loss Prevention in the Process Industries 56, 378–385</w:t>
      </w:r>
      <w:r w:rsidR="004217AA">
        <w:rPr>
          <w:rFonts w:cs="Arial"/>
        </w:rPr>
        <w:t>,</w:t>
      </w:r>
      <w:r w:rsidRPr="00FE666C">
        <w:rPr>
          <w:rFonts w:cs="Arial"/>
        </w:rPr>
        <w:t xml:space="preserve"> </w:t>
      </w:r>
      <w:r w:rsidR="006F04BE">
        <w:rPr>
          <w:rFonts w:cs="Arial"/>
        </w:rPr>
        <w:t>&lt;</w:t>
      </w:r>
      <w:r w:rsidRPr="00FE666C">
        <w:rPr>
          <w:rFonts w:cs="Arial"/>
        </w:rPr>
        <w:t>10.1016/j.jlp.2018.09.010</w:t>
      </w:r>
      <w:r w:rsidR="006F04BE">
        <w:rPr>
          <w:rFonts w:cs="Arial"/>
        </w:rPr>
        <w:t>&gt;.</w:t>
      </w:r>
    </w:p>
    <w:p w14:paraId="297E3836" w14:textId="436A03F4" w:rsidR="00FE666C" w:rsidRPr="004217AA" w:rsidRDefault="00FE666C" w:rsidP="00FE666C">
      <w:pPr>
        <w:pStyle w:val="Bibliografia"/>
        <w:rPr>
          <w:rFonts w:cs="Arial"/>
          <w:lang w:val="en-US"/>
        </w:rPr>
      </w:pPr>
      <w:r w:rsidRPr="004217AA">
        <w:rPr>
          <w:rFonts w:cs="Arial"/>
          <w:lang w:val="en-US"/>
        </w:rPr>
        <w:t>Renni, E., Krausmann, E., Cozzani, V., 2010</w:t>
      </w:r>
      <w:r w:rsidR="004217AA" w:rsidRPr="004217AA">
        <w:rPr>
          <w:rFonts w:cs="Arial"/>
          <w:lang w:val="en-US"/>
        </w:rPr>
        <w:t>,</w:t>
      </w:r>
      <w:r w:rsidRPr="004217AA">
        <w:rPr>
          <w:rFonts w:cs="Arial"/>
          <w:lang w:val="en-US"/>
        </w:rPr>
        <w:t xml:space="preserve"> </w:t>
      </w:r>
      <w:r w:rsidRPr="00FE666C">
        <w:rPr>
          <w:rFonts w:cs="Arial"/>
        </w:rPr>
        <w:t>Industrial accidents triggered by lightning</w:t>
      </w:r>
      <w:r w:rsidR="004217AA">
        <w:rPr>
          <w:rFonts w:cs="Arial"/>
        </w:rPr>
        <w:t>,</w:t>
      </w:r>
      <w:r w:rsidRPr="00FE666C">
        <w:rPr>
          <w:rFonts w:cs="Arial"/>
        </w:rPr>
        <w:t xml:space="preserve"> </w:t>
      </w:r>
      <w:r w:rsidRPr="004217AA">
        <w:rPr>
          <w:rFonts w:cs="Arial"/>
          <w:lang w:val="en-US"/>
        </w:rPr>
        <w:t>Journal of Hazardous Materials 184, 42–48</w:t>
      </w:r>
      <w:r w:rsidR="004217AA">
        <w:rPr>
          <w:rFonts w:cs="Arial"/>
          <w:lang w:val="en-US"/>
        </w:rPr>
        <w:t>,</w:t>
      </w:r>
      <w:r w:rsidRPr="004217AA">
        <w:rPr>
          <w:rFonts w:cs="Arial"/>
          <w:lang w:val="en-US"/>
        </w:rPr>
        <w:t xml:space="preserve"> </w:t>
      </w:r>
      <w:r w:rsidR="006F04BE">
        <w:rPr>
          <w:rFonts w:cs="Arial"/>
          <w:lang w:val="en-US"/>
        </w:rPr>
        <w:t>&lt;</w:t>
      </w:r>
      <w:r w:rsidRPr="004217AA">
        <w:rPr>
          <w:rFonts w:cs="Arial"/>
          <w:lang w:val="en-US"/>
        </w:rPr>
        <w:t>10.1016/j.jhazmat.2010.07.118</w:t>
      </w:r>
      <w:r w:rsidR="006F04BE">
        <w:rPr>
          <w:rFonts w:cs="Arial"/>
          <w:lang w:val="en-US"/>
        </w:rPr>
        <w:t>&gt;.</w:t>
      </w:r>
    </w:p>
    <w:p w14:paraId="6A3F2590" w14:textId="02B6634D" w:rsidR="00FE666C" w:rsidRPr="00FE666C" w:rsidRDefault="00FE666C" w:rsidP="00FE666C">
      <w:pPr>
        <w:pStyle w:val="Bibliografia"/>
        <w:rPr>
          <w:rFonts w:cs="Arial"/>
          <w:lang w:val="it-IT"/>
        </w:rPr>
      </w:pPr>
      <w:r w:rsidRPr="00FE666C">
        <w:rPr>
          <w:rFonts w:cs="Arial"/>
          <w:lang w:val="it-IT"/>
        </w:rPr>
        <w:t>Ricchiuti, A., Lotti, A., Astorri, F., Graziani, L., Maschio, G., Presti, G.L., Santucci, A., Ceci, P., Floridi, E., Favaroni, M., 2007</w:t>
      </w:r>
      <w:r w:rsidR="00B663DB">
        <w:rPr>
          <w:rFonts w:cs="Arial"/>
          <w:lang w:val="it-IT"/>
        </w:rPr>
        <w:t>,</w:t>
      </w:r>
      <w:r w:rsidRPr="00FE666C">
        <w:rPr>
          <w:rFonts w:cs="Arial"/>
          <w:lang w:val="it-IT"/>
        </w:rPr>
        <w:t xml:space="preserve"> </w:t>
      </w:r>
      <w:r w:rsidR="00025C19" w:rsidRPr="00FE666C">
        <w:rPr>
          <w:rFonts w:cs="Arial"/>
          <w:lang w:val="it-IT"/>
        </w:rPr>
        <w:t xml:space="preserve">Mappatura </w:t>
      </w:r>
      <w:r w:rsidR="00025C19">
        <w:rPr>
          <w:rFonts w:cs="Arial"/>
          <w:lang w:val="it-IT"/>
        </w:rPr>
        <w:t>d</w:t>
      </w:r>
      <w:r w:rsidR="00025C19" w:rsidRPr="00FE666C">
        <w:rPr>
          <w:rFonts w:cs="Arial"/>
          <w:lang w:val="it-IT"/>
        </w:rPr>
        <w:t xml:space="preserve">el </w:t>
      </w:r>
      <w:r w:rsidR="00025C19">
        <w:rPr>
          <w:rFonts w:cs="Arial"/>
          <w:lang w:val="it-IT"/>
        </w:rPr>
        <w:t>r</w:t>
      </w:r>
      <w:r w:rsidR="00025C19" w:rsidRPr="00FE666C">
        <w:rPr>
          <w:rFonts w:cs="Arial"/>
          <w:lang w:val="it-IT"/>
        </w:rPr>
        <w:t xml:space="preserve">ischio </w:t>
      </w:r>
      <w:r w:rsidR="00025C19">
        <w:rPr>
          <w:rFonts w:cs="Arial"/>
          <w:lang w:val="it-IT"/>
        </w:rPr>
        <w:t>i</w:t>
      </w:r>
      <w:r w:rsidR="00025C19" w:rsidRPr="00FE666C">
        <w:rPr>
          <w:rFonts w:cs="Arial"/>
          <w:lang w:val="it-IT"/>
        </w:rPr>
        <w:t xml:space="preserve">ndustriale </w:t>
      </w:r>
      <w:r w:rsidR="00025C19">
        <w:rPr>
          <w:rFonts w:cs="Arial"/>
          <w:lang w:val="it-IT"/>
        </w:rPr>
        <w:t>i</w:t>
      </w:r>
      <w:r w:rsidR="00025C19" w:rsidRPr="00FE666C">
        <w:rPr>
          <w:rFonts w:cs="Arial"/>
          <w:lang w:val="it-IT"/>
        </w:rPr>
        <w:t xml:space="preserve">n Italia </w:t>
      </w:r>
      <w:r w:rsidRPr="00FE666C">
        <w:rPr>
          <w:rFonts w:cs="Arial"/>
          <w:lang w:val="it-IT"/>
        </w:rPr>
        <w:t>(No. APAT, Rapporti XX/2007)</w:t>
      </w:r>
      <w:r w:rsidR="00B663DB">
        <w:rPr>
          <w:rFonts w:cs="Arial"/>
          <w:lang w:val="it-IT"/>
        </w:rPr>
        <w:t>,</w:t>
      </w:r>
      <w:r w:rsidRPr="00FE666C">
        <w:rPr>
          <w:rFonts w:cs="Arial"/>
          <w:lang w:val="it-IT"/>
        </w:rPr>
        <w:t xml:space="preserve"> Agenzia Nazionale per la Protezione dell’Ambiente e dei Servizi Tecnici (APAT).</w:t>
      </w:r>
    </w:p>
    <w:p w14:paraId="3C4B791C" w14:textId="55268BE5" w:rsidR="00FE666C" w:rsidRPr="00FE666C" w:rsidRDefault="00FE666C" w:rsidP="00FE666C">
      <w:pPr>
        <w:pStyle w:val="Bibliografia"/>
        <w:rPr>
          <w:rFonts w:cs="Arial"/>
        </w:rPr>
      </w:pPr>
      <w:r w:rsidRPr="00701547">
        <w:rPr>
          <w:rFonts w:cs="Arial"/>
          <w:lang w:val="en-US"/>
        </w:rPr>
        <w:t>Ricci, F., Casson Moreno, V., Cozzani, V., 2021</w:t>
      </w:r>
      <w:r w:rsidR="00701547" w:rsidRPr="00701547">
        <w:rPr>
          <w:rFonts w:cs="Arial"/>
          <w:lang w:val="en-US"/>
        </w:rPr>
        <w:t>,</w:t>
      </w:r>
      <w:r w:rsidRPr="00701547">
        <w:rPr>
          <w:rFonts w:cs="Arial"/>
          <w:lang w:val="en-US"/>
        </w:rPr>
        <w:t xml:space="preserve"> </w:t>
      </w:r>
      <w:r w:rsidRPr="00FE666C">
        <w:rPr>
          <w:rFonts w:cs="Arial"/>
        </w:rPr>
        <w:t>A comprehensive analysis of the occurrence of Natech events in the process industry</w:t>
      </w:r>
      <w:r w:rsidR="00701547">
        <w:rPr>
          <w:rFonts w:cs="Arial"/>
        </w:rPr>
        <w:t>,</w:t>
      </w:r>
      <w:r w:rsidRPr="00FE666C">
        <w:rPr>
          <w:rFonts w:cs="Arial"/>
        </w:rPr>
        <w:t xml:space="preserve"> Process Safety and Environmental Protection 147, 703–713</w:t>
      </w:r>
      <w:r w:rsidR="00701547">
        <w:rPr>
          <w:rFonts w:cs="Arial"/>
        </w:rPr>
        <w:t xml:space="preserve">, </w:t>
      </w:r>
      <w:r w:rsidR="006F04BE">
        <w:rPr>
          <w:rFonts w:cs="Arial"/>
        </w:rPr>
        <w:t>&lt;</w:t>
      </w:r>
      <w:r w:rsidRPr="00FE666C">
        <w:rPr>
          <w:rFonts w:cs="Arial"/>
        </w:rPr>
        <w:t>10.1016/j.psep.2020.12.031</w:t>
      </w:r>
      <w:r w:rsidR="006F04BE">
        <w:rPr>
          <w:rFonts w:cs="Arial"/>
        </w:rPr>
        <w:t>&gt;.</w:t>
      </w:r>
    </w:p>
    <w:p w14:paraId="3B9D5F81" w14:textId="42D1AB61" w:rsidR="00AC25AD" w:rsidRPr="001306B1" w:rsidRDefault="00AC25AD" w:rsidP="00AC25AD">
      <w:pPr>
        <w:pStyle w:val="Bibliografia"/>
        <w:rPr>
          <w:rFonts w:cs="Arial"/>
          <w:lang w:val="it-IT"/>
        </w:rPr>
      </w:pPr>
      <w:r w:rsidRPr="004217AA">
        <w:rPr>
          <w:rFonts w:cs="Arial"/>
          <w:lang w:val="en-US"/>
        </w:rPr>
        <w:t xml:space="preserve">Ricci, F., Casson Moreno, V., Cozzani, V., 2023, </w:t>
      </w:r>
      <w:r w:rsidRPr="00FE666C">
        <w:rPr>
          <w:rFonts w:cs="Arial"/>
        </w:rPr>
        <w:t xml:space="preserve">Natech </w:t>
      </w:r>
      <w:r>
        <w:rPr>
          <w:rFonts w:cs="Arial"/>
        </w:rPr>
        <w:t>a</w:t>
      </w:r>
      <w:r w:rsidRPr="00FE666C">
        <w:rPr>
          <w:rFonts w:cs="Arial"/>
        </w:rPr>
        <w:t xml:space="preserve">ccidents </w:t>
      </w:r>
      <w:r>
        <w:rPr>
          <w:rFonts w:cs="Arial"/>
        </w:rPr>
        <w:t>t</w:t>
      </w:r>
      <w:r w:rsidRPr="00FE666C">
        <w:rPr>
          <w:rFonts w:cs="Arial"/>
        </w:rPr>
        <w:t xml:space="preserve">riggered by </w:t>
      </w:r>
      <w:r>
        <w:rPr>
          <w:rFonts w:cs="Arial"/>
        </w:rPr>
        <w:t>h</w:t>
      </w:r>
      <w:r w:rsidRPr="00FE666C">
        <w:rPr>
          <w:rFonts w:cs="Arial"/>
        </w:rPr>
        <w:t xml:space="preserve">eat </w:t>
      </w:r>
      <w:r>
        <w:rPr>
          <w:rFonts w:cs="Arial"/>
        </w:rPr>
        <w:t>w</w:t>
      </w:r>
      <w:r w:rsidRPr="00FE666C">
        <w:rPr>
          <w:rFonts w:cs="Arial"/>
        </w:rPr>
        <w:t>aves</w:t>
      </w:r>
      <w:r>
        <w:rPr>
          <w:rFonts w:cs="Arial"/>
        </w:rPr>
        <w:t>,</w:t>
      </w:r>
      <w:r w:rsidRPr="00FE666C">
        <w:rPr>
          <w:rFonts w:cs="Arial"/>
        </w:rPr>
        <w:t xml:space="preserve"> </w:t>
      </w:r>
      <w:r w:rsidRPr="004217AA">
        <w:rPr>
          <w:rFonts w:cs="Arial"/>
          <w:lang w:val="en-US"/>
        </w:rPr>
        <w:t xml:space="preserve">Safety 9, 33. </w:t>
      </w:r>
      <w:r w:rsidR="006F04BE" w:rsidRPr="001306B1">
        <w:rPr>
          <w:rFonts w:cs="Arial"/>
          <w:lang w:val="it-IT"/>
        </w:rPr>
        <w:t>&lt;</w:t>
      </w:r>
      <w:r w:rsidRPr="001306B1">
        <w:rPr>
          <w:rFonts w:cs="Arial"/>
          <w:lang w:val="it-IT"/>
        </w:rPr>
        <w:t>10.3390/safety9020033</w:t>
      </w:r>
      <w:r w:rsidR="006F04BE" w:rsidRPr="001306B1">
        <w:rPr>
          <w:rFonts w:cs="Arial"/>
          <w:lang w:val="it-IT"/>
        </w:rPr>
        <w:t>&gt;.</w:t>
      </w:r>
    </w:p>
    <w:p w14:paraId="0B869C6E" w14:textId="790E6DCC" w:rsidR="0024636A" w:rsidRPr="003E2D12" w:rsidRDefault="0024636A" w:rsidP="0024636A">
      <w:pPr>
        <w:pStyle w:val="Bibliografia"/>
        <w:rPr>
          <w:rFonts w:cs="Arial"/>
          <w:lang w:val="it-IT"/>
        </w:rPr>
      </w:pPr>
      <w:r w:rsidRPr="003E2D12">
        <w:rPr>
          <w:rFonts w:cs="Arial"/>
          <w:lang w:val="it-IT"/>
        </w:rPr>
        <w:t xml:space="preserve">Sabatino R., Cordisco A., 2013, Protezione contro I fulmini: Valutazione del rischio, </w:t>
      </w:r>
      <w:r w:rsidR="003E2D12" w:rsidRPr="003E2D12">
        <w:rPr>
          <w:rFonts w:cs="Arial"/>
          <w:lang w:val="it-IT"/>
        </w:rPr>
        <w:t>Istituto Nazionale Assicurazione contro gli Infortuni sul Lavoro</w:t>
      </w:r>
      <w:r w:rsidRPr="003E2D12">
        <w:rPr>
          <w:rFonts w:cs="Arial"/>
          <w:lang w:val="it-IT"/>
        </w:rPr>
        <w:t xml:space="preserve"> (INAIL), Milano, ISBN 978-88-7484-339-8</w:t>
      </w:r>
    </w:p>
    <w:p w14:paraId="72394B1E" w14:textId="5F23258B" w:rsidR="00D33E8C" w:rsidRPr="009243D6" w:rsidRDefault="00FE666C" w:rsidP="00D814A0">
      <w:pPr>
        <w:pStyle w:val="Bibliografia"/>
        <w:rPr>
          <w:rFonts w:cs="Arial"/>
        </w:rPr>
      </w:pPr>
      <w:r w:rsidRPr="004217AA">
        <w:rPr>
          <w:rFonts w:cs="Arial"/>
          <w:lang w:val="en-US"/>
        </w:rPr>
        <w:t>Suarez-Paba, M.C., Cruz, A.M., 2022</w:t>
      </w:r>
      <w:r w:rsidR="00701547" w:rsidRPr="004217AA">
        <w:rPr>
          <w:rFonts w:cs="Arial"/>
          <w:lang w:val="en-US"/>
        </w:rPr>
        <w:t>,</w:t>
      </w:r>
      <w:r w:rsidRPr="004217AA">
        <w:rPr>
          <w:rFonts w:cs="Arial"/>
          <w:lang w:val="en-US"/>
        </w:rPr>
        <w:t xml:space="preserve"> </w:t>
      </w:r>
      <w:r w:rsidRPr="00FE666C">
        <w:rPr>
          <w:rFonts w:cs="Arial"/>
        </w:rPr>
        <w:t>A paradigm shift in Natech risk management: Development of a rating system framework for evaluating the performance of industry</w:t>
      </w:r>
      <w:r w:rsidR="004217AA">
        <w:rPr>
          <w:rFonts w:cs="Arial"/>
        </w:rPr>
        <w:t>,</w:t>
      </w:r>
      <w:r w:rsidRPr="00FE666C">
        <w:rPr>
          <w:rFonts w:cs="Arial"/>
        </w:rPr>
        <w:t xml:space="preserve"> Journal of Loss Prevention in the Process Industries 74, 104615</w:t>
      </w:r>
      <w:r w:rsidR="004217AA">
        <w:rPr>
          <w:rFonts w:cs="Arial"/>
        </w:rPr>
        <w:t>,</w:t>
      </w:r>
      <w:r w:rsidRPr="00FE666C">
        <w:rPr>
          <w:rFonts w:cs="Arial"/>
        </w:rPr>
        <w:t xml:space="preserve"> </w:t>
      </w:r>
      <w:r w:rsidR="00BA124F">
        <w:rPr>
          <w:rFonts w:cs="Arial"/>
        </w:rPr>
        <w:t>&lt;</w:t>
      </w:r>
      <w:r w:rsidR="00D33E8C" w:rsidRPr="00CC6E41">
        <w:rPr>
          <w:rFonts w:cs="Arial"/>
        </w:rPr>
        <w:t>10.1016/j.jlp.2021.104615</w:t>
      </w:r>
      <w:r w:rsidR="00BA124F">
        <w:rPr>
          <w:rFonts w:cs="Arial"/>
        </w:rPr>
        <w:t>&gt;</w:t>
      </w:r>
    </w:p>
    <w:sectPr w:rsidR="00D33E8C" w:rsidRPr="009243D6" w:rsidSect="0002300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2BA4" w14:textId="77777777" w:rsidR="00C30BD3" w:rsidRDefault="00C30BD3" w:rsidP="004F5E36">
      <w:r>
        <w:separator/>
      </w:r>
    </w:p>
  </w:endnote>
  <w:endnote w:type="continuationSeparator" w:id="0">
    <w:p w14:paraId="6BCE1120" w14:textId="77777777" w:rsidR="00C30BD3" w:rsidRDefault="00C30BD3" w:rsidP="004F5E36">
      <w:r>
        <w:continuationSeparator/>
      </w:r>
    </w:p>
  </w:endnote>
  <w:endnote w:type="continuationNotice" w:id="1">
    <w:p w14:paraId="091B25D7" w14:textId="77777777" w:rsidR="00C30BD3" w:rsidRDefault="00C30B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F1AA" w14:textId="77777777" w:rsidR="00C30BD3" w:rsidRDefault="00C30BD3" w:rsidP="004F5E36">
      <w:r>
        <w:separator/>
      </w:r>
    </w:p>
  </w:footnote>
  <w:footnote w:type="continuationSeparator" w:id="0">
    <w:p w14:paraId="4D38CEA1" w14:textId="77777777" w:rsidR="00C30BD3" w:rsidRDefault="00C30BD3" w:rsidP="004F5E36">
      <w:r>
        <w:continuationSeparator/>
      </w:r>
    </w:p>
  </w:footnote>
  <w:footnote w:type="continuationNotice" w:id="1">
    <w:p w14:paraId="39200F02" w14:textId="77777777" w:rsidR="00C30BD3" w:rsidRDefault="00C30BD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242B53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AC40276"/>
    <w:multiLevelType w:val="hybridMultilevel"/>
    <w:tmpl w:val="9F0C176C"/>
    <w:lvl w:ilvl="0" w:tplc="2E9ED7C0">
      <w:start w:val="1"/>
      <w:numFmt w:val="lowerLetter"/>
      <w:lvlText w:val="%1)"/>
      <w:lvlJc w:val="left"/>
      <w:pPr>
        <w:ind w:left="2025" w:hanging="360"/>
      </w:pPr>
      <w:rPr>
        <w:rFonts w:hint="default"/>
      </w:r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8D4045"/>
    <w:multiLevelType w:val="hybridMultilevel"/>
    <w:tmpl w:val="785AB01A"/>
    <w:lvl w:ilvl="0" w:tplc="4BB61B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FF0A09"/>
    <w:multiLevelType w:val="hybridMultilevel"/>
    <w:tmpl w:val="55F89F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0D0496"/>
    <w:multiLevelType w:val="hybridMultilevel"/>
    <w:tmpl w:val="2938C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9"/>
  </w:num>
  <w:num w:numId="13" w16cid:durableId="1573659240">
    <w:abstractNumId w:val="12"/>
  </w:num>
  <w:num w:numId="14" w16cid:durableId="2092192635">
    <w:abstractNumId w:val="20"/>
  </w:num>
  <w:num w:numId="15" w16cid:durableId="1115637783">
    <w:abstractNumId w:val="22"/>
  </w:num>
  <w:num w:numId="16" w16cid:durableId="635987207">
    <w:abstractNumId w:val="21"/>
  </w:num>
  <w:num w:numId="17" w16cid:durableId="1476411020">
    <w:abstractNumId w:val="11"/>
  </w:num>
  <w:num w:numId="18" w16cid:durableId="2106877164">
    <w:abstractNumId w:val="12"/>
    <w:lvlOverride w:ilvl="0">
      <w:startOverride w:val="1"/>
    </w:lvlOverride>
  </w:num>
  <w:num w:numId="19" w16cid:durableId="1650403514">
    <w:abstractNumId w:val="17"/>
  </w:num>
  <w:num w:numId="20" w16cid:durableId="536504040">
    <w:abstractNumId w:val="16"/>
  </w:num>
  <w:num w:numId="21" w16cid:durableId="518815501">
    <w:abstractNumId w:val="14"/>
  </w:num>
  <w:num w:numId="22" w16cid:durableId="299530822">
    <w:abstractNumId w:val="13"/>
  </w:num>
  <w:num w:numId="23" w16cid:durableId="186867075">
    <w:abstractNumId w:val="23"/>
  </w:num>
  <w:num w:numId="24" w16cid:durableId="1015839822">
    <w:abstractNumId w:val="15"/>
  </w:num>
  <w:num w:numId="25" w16cid:durableId="1107652444">
    <w:abstractNumId w:val="24"/>
  </w:num>
  <w:num w:numId="26" w16cid:durableId="7186691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sqgFADtbelYtAAAA"/>
  </w:docVars>
  <w:rsids>
    <w:rsidRoot w:val="000E414A"/>
    <w:rsid w:val="000027C0"/>
    <w:rsid w:val="000052FB"/>
    <w:rsid w:val="00005C95"/>
    <w:rsid w:val="00005F36"/>
    <w:rsid w:val="00006BB8"/>
    <w:rsid w:val="000075C9"/>
    <w:rsid w:val="000117CB"/>
    <w:rsid w:val="00011CF6"/>
    <w:rsid w:val="000135B3"/>
    <w:rsid w:val="000157A4"/>
    <w:rsid w:val="00015945"/>
    <w:rsid w:val="00016335"/>
    <w:rsid w:val="000165B1"/>
    <w:rsid w:val="00017521"/>
    <w:rsid w:val="00020A0F"/>
    <w:rsid w:val="00023009"/>
    <w:rsid w:val="000233AF"/>
    <w:rsid w:val="00025C19"/>
    <w:rsid w:val="00026758"/>
    <w:rsid w:val="0003112A"/>
    <w:rsid w:val="00031332"/>
    <w:rsid w:val="0003148D"/>
    <w:rsid w:val="00031EEC"/>
    <w:rsid w:val="00033466"/>
    <w:rsid w:val="00034301"/>
    <w:rsid w:val="00035FB4"/>
    <w:rsid w:val="00036405"/>
    <w:rsid w:val="00036413"/>
    <w:rsid w:val="00037F7B"/>
    <w:rsid w:val="00040024"/>
    <w:rsid w:val="00041110"/>
    <w:rsid w:val="00041AA5"/>
    <w:rsid w:val="00041BD0"/>
    <w:rsid w:val="0004443B"/>
    <w:rsid w:val="0004512D"/>
    <w:rsid w:val="00045736"/>
    <w:rsid w:val="0004666F"/>
    <w:rsid w:val="00051566"/>
    <w:rsid w:val="00052281"/>
    <w:rsid w:val="000522FA"/>
    <w:rsid w:val="00053678"/>
    <w:rsid w:val="000541EC"/>
    <w:rsid w:val="00054D8D"/>
    <w:rsid w:val="000554A5"/>
    <w:rsid w:val="0005603E"/>
    <w:rsid w:val="00060125"/>
    <w:rsid w:val="00061174"/>
    <w:rsid w:val="00061D5F"/>
    <w:rsid w:val="00062A9A"/>
    <w:rsid w:val="00064C3F"/>
    <w:rsid w:val="00065034"/>
    <w:rsid w:val="00065058"/>
    <w:rsid w:val="00065448"/>
    <w:rsid w:val="00066329"/>
    <w:rsid w:val="000663C8"/>
    <w:rsid w:val="00066460"/>
    <w:rsid w:val="0006794E"/>
    <w:rsid w:val="00070BAC"/>
    <w:rsid w:val="00073265"/>
    <w:rsid w:val="00073D62"/>
    <w:rsid w:val="0007742F"/>
    <w:rsid w:val="0008027E"/>
    <w:rsid w:val="0008082B"/>
    <w:rsid w:val="00082BC0"/>
    <w:rsid w:val="00082C91"/>
    <w:rsid w:val="00084098"/>
    <w:rsid w:val="0008474F"/>
    <w:rsid w:val="00085727"/>
    <w:rsid w:val="000864B6"/>
    <w:rsid w:val="000866A9"/>
    <w:rsid w:val="0008686C"/>
    <w:rsid w:val="00086C39"/>
    <w:rsid w:val="00087B0D"/>
    <w:rsid w:val="00087B35"/>
    <w:rsid w:val="00093742"/>
    <w:rsid w:val="000971B0"/>
    <w:rsid w:val="00097B66"/>
    <w:rsid w:val="000A03B2"/>
    <w:rsid w:val="000A1601"/>
    <w:rsid w:val="000A1EAC"/>
    <w:rsid w:val="000A30A4"/>
    <w:rsid w:val="000A3145"/>
    <w:rsid w:val="000A410D"/>
    <w:rsid w:val="000A4C01"/>
    <w:rsid w:val="000A693C"/>
    <w:rsid w:val="000A7211"/>
    <w:rsid w:val="000A763E"/>
    <w:rsid w:val="000B1529"/>
    <w:rsid w:val="000B3176"/>
    <w:rsid w:val="000B3B82"/>
    <w:rsid w:val="000B5658"/>
    <w:rsid w:val="000C1E8B"/>
    <w:rsid w:val="000C1F0F"/>
    <w:rsid w:val="000C4428"/>
    <w:rsid w:val="000C5347"/>
    <w:rsid w:val="000C6293"/>
    <w:rsid w:val="000C6606"/>
    <w:rsid w:val="000D0268"/>
    <w:rsid w:val="000D14C4"/>
    <w:rsid w:val="000D1C49"/>
    <w:rsid w:val="000D2AFE"/>
    <w:rsid w:val="000D2C08"/>
    <w:rsid w:val="000D34BE"/>
    <w:rsid w:val="000D3929"/>
    <w:rsid w:val="000D58CD"/>
    <w:rsid w:val="000D5C06"/>
    <w:rsid w:val="000D709D"/>
    <w:rsid w:val="000E098A"/>
    <w:rsid w:val="000E102F"/>
    <w:rsid w:val="000E3646"/>
    <w:rsid w:val="000E36F1"/>
    <w:rsid w:val="000E3A73"/>
    <w:rsid w:val="000E414A"/>
    <w:rsid w:val="000E4A28"/>
    <w:rsid w:val="000E58E3"/>
    <w:rsid w:val="000E6139"/>
    <w:rsid w:val="000E6314"/>
    <w:rsid w:val="000F093C"/>
    <w:rsid w:val="000F1AAC"/>
    <w:rsid w:val="000F24FB"/>
    <w:rsid w:val="000F3EE1"/>
    <w:rsid w:val="000F4062"/>
    <w:rsid w:val="000F5B8F"/>
    <w:rsid w:val="000F5D45"/>
    <w:rsid w:val="000F7576"/>
    <w:rsid w:val="000F787B"/>
    <w:rsid w:val="00106B28"/>
    <w:rsid w:val="00106C35"/>
    <w:rsid w:val="001070CC"/>
    <w:rsid w:val="00110D58"/>
    <w:rsid w:val="00112202"/>
    <w:rsid w:val="00113A76"/>
    <w:rsid w:val="0011559F"/>
    <w:rsid w:val="00120061"/>
    <w:rsid w:val="0012091F"/>
    <w:rsid w:val="00121170"/>
    <w:rsid w:val="00121A5C"/>
    <w:rsid w:val="001221A6"/>
    <w:rsid w:val="00124056"/>
    <w:rsid w:val="00126BC2"/>
    <w:rsid w:val="00127590"/>
    <w:rsid w:val="001306B1"/>
    <w:rsid w:val="001308B6"/>
    <w:rsid w:val="0013121F"/>
    <w:rsid w:val="00131B63"/>
    <w:rsid w:val="00131DD1"/>
    <w:rsid w:val="00131FE6"/>
    <w:rsid w:val="0013263F"/>
    <w:rsid w:val="001331DF"/>
    <w:rsid w:val="00134DE4"/>
    <w:rsid w:val="00137ED3"/>
    <w:rsid w:val="0014034D"/>
    <w:rsid w:val="001414B5"/>
    <w:rsid w:val="00142E87"/>
    <w:rsid w:val="001430AF"/>
    <w:rsid w:val="00143268"/>
    <w:rsid w:val="00144D16"/>
    <w:rsid w:val="00146BD3"/>
    <w:rsid w:val="00147B0C"/>
    <w:rsid w:val="00150C44"/>
    <w:rsid w:val="00150E59"/>
    <w:rsid w:val="001517DA"/>
    <w:rsid w:val="00151C4F"/>
    <w:rsid w:val="00152DE3"/>
    <w:rsid w:val="00153FA7"/>
    <w:rsid w:val="001547B6"/>
    <w:rsid w:val="001553E8"/>
    <w:rsid w:val="00156087"/>
    <w:rsid w:val="0016056B"/>
    <w:rsid w:val="0016218C"/>
    <w:rsid w:val="001624D8"/>
    <w:rsid w:val="00162A21"/>
    <w:rsid w:val="0016372B"/>
    <w:rsid w:val="00163A45"/>
    <w:rsid w:val="00164CF9"/>
    <w:rsid w:val="00165772"/>
    <w:rsid w:val="00165B14"/>
    <w:rsid w:val="001664A1"/>
    <w:rsid w:val="001667A6"/>
    <w:rsid w:val="0016775D"/>
    <w:rsid w:val="001679A5"/>
    <w:rsid w:val="00167E71"/>
    <w:rsid w:val="001702CC"/>
    <w:rsid w:val="001716D8"/>
    <w:rsid w:val="001721D9"/>
    <w:rsid w:val="00172827"/>
    <w:rsid w:val="0017335E"/>
    <w:rsid w:val="001742E3"/>
    <w:rsid w:val="00175BC6"/>
    <w:rsid w:val="00175D35"/>
    <w:rsid w:val="00175F9F"/>
    <w:rsid w:val="001800B6"/>
    <w:rsid w:val="0018109A"/>
    <w:rsid w:val="001816E0"/>
    <w:rsid w:val="0018303C"/>
    <w:rsid w:val="00183472"/>
    <w:rsid w:val="001843AA"/>
    <w:rsid w:val="00184AD6"/>
    <w:rsid w:val="00184B3A"/>
    <w:rsid w:val="001851B4"/>
    <w:rsid w:val="00195689"/>
    <w:rsid w:val="001959DF"/>
    <w:rsid w:val="00196DC2"/>
    <w:rsid w:val="001A195D"/>
    <w:rsid w:val="001A39D0"/>
    <w:rsid w:val="001A3A73"/>
    <w:rsid w:val="001A3B2C"/>
    <w:rsid w:val="001A4254"/>
    <w:rsid w:val="001A4AF7"/>
    <w:rsid w:val="001A54F9"/>
    <w:rsid w:val="001A64D6"/>
    <w:rsid w:val="001A71E9"/>
    <w:rsid w:val="001A7837"/>
    <w:rsid w:val="001A7C7D"/>
    <w:rsid w:val="001B0349"/>
    <w:rsid w:val="001B1BB3"/>
    <w:rsid w:val="001B1E69"/>
    <w:rsid w:val="001B1E93"/>
    <w:rsid w:val="001B2142"/>
    <w:rsid w:val="001B3490"/>
    <w:rsid w:val="001B3B24"/>
    <w:rsid w:val="001B42D3"/>
    <w:rsid w:val="001B6353"/>
    <w:rsid w:val="001B6527"/>
    <w:rsid w:val="001B65C1"/>
    <w:rsid w:val="001B774A"/>
    <w:rsid w:val="001C07BD"/>
    <w:rsid w:val="001C0DAF"/>
    <w:rsid w:val="001C1836"/>
    <w:rsid w:val="001C1A31"/>
    <w:rsid w:val="001C2C09"/>
    <w:rsid w:val="001C2D9B"/>
    <w:rsid w:val="001C5561"/>
    <w:rsid w:val="001C657F"/>
    <w:rsid w:val="001C67A0"/>
    <w:rsid w:val="001C684B"/>
    <w:rsid w:val="001C6A44"/>
    <w:rsid w:val="001C7DAE"/>
    <w:rsid w:val="001D04FB"/>
    <w:rsid w:val="001D0CFB"/>
    <w:rsid w:val="001D207D"/>
    <w:rsid w:val="001D2855"/>
    <w:rsid w:val="001D52CA"/>
    <w:rsid w:val="001D53FC"/>
    <w:rsid w:val="001D65B8"/>
    <w:rsid w:val="001E066A"/>
    <w:rsid w:val="001E0E0D"/>
    <w:rsid w:val="001E21A2"/>
    <w:rsid w:val="001E3680"/>
    <w:rsid w:val="001E3A99"/>
    <w:rsid w:val="001E48DF"/>
    <w:rsid w:val="001E7A82"/>
    <w:rsid w:val="001F02EC"/>
    <w:rsid w:val="001F2409"/>
    <w:rsid w:val="001F3649"/>
    <w:rsid w:val="001F3B76"/>
    <w:rsid w:val="001F42A5"/>
    <w:rsid w:val="001F4BF2"/>
    <w:rsid w:val="001F78D0"/>
    <w:rsid w:val="001F7B9D"/>
    <w:rsid w:val="0020020C"/>
    <w:rsid w:val="00200479"/>
    <w:rsid w:val="002011C4"/>
    <w:rsid w:val="00201C93"/>
    <w:rsid w:val="002029B8"/>
    <w:rsid w:val="002038ED"/>
    <w:rsid w:val="002112A4"/>
    <w:rsid w:val="0021164B"/>
    <w:rsid w:val="00220D40"/>
    <w:rsid w:val="00221BAE"/>
    <w:rsid w:val="00222056"/>
    <w:rsid w:val="002224B4"/>
    <w:rsid w:val="00222D78"/>
    <w:rsid w:val="0022346E"/>
    <w:rsid w:val="0022387B"/>
    <w:rsid w:val="00224D36"/>
    <w:rsid w:val="00225417"/>
    <w:rsid w:val="00225BEA"/>
    <w:rsid w:val="00226CFE"/>
    <w:rsid w:val="00227248"/>
    <w:rsid w:val="0023098C"/>
    <w:rsid w:val="00234402"/>
    <w:rsid w:val="002344D9"/>
    <w:rsid w:val="002418DF"/>
    <w:rsid w:val="002447EF"/>
    <w:rsid w:val="0024570B"/>
    <w:rsid w:val="00245F7B"/>
    <w:rsid w:val="0024636A"/>
    <w:rsid w:val="0024758F"/>
    <w:rsid w:val="00251550"/>
    <w:rsid w:val="00252BAF"/>
    <w:rsid w:val="002538CE"/>
    <w:rsid w:val="0025499B"/>
    <w:rsid w:val="00255914"/>
    <w:rsid w:val="00263B05"/>
    <w:rsid w:val="00264786"/>
    <w:rsid w:val="00266656"/>
    <w:rsid w:val="00267AB9"/>
    <w:rsid w:val="002706C6"/>
    <w:rsid w:val="0027221A"/>
    <w:rsid w:val="0027348E"/>
    <w:rsid w:val="00275020"/>
    <w:rsid w:val="00275B61"/>
    <w:rsid w:val="00277307"/>
    <w:rsid w:val="00277EC6"/>
    <w:rsid w:val="00280FAF"/>
    <w:rsid w:val="00282656"/>
    <w:rsid w:val="00282829"/>
    <w:rsid w:val="00282AF0"/>
    <w:rsid w:val="00284061"/>
    <w:rsid w:val="002877C6"/>
    <w:rsid w:val="00291109"/>
    <w:rsid w:val="00291A0C"/>
    <w:rsid w:val="00292D2C"/>
    <w:rsid w:val="00294996"/>
    <w:rsid w:val="00296B83"/>
    <w:rsid w:val="00297866"/>
    <w:rsid w:val="002A01F6"/>
    <w:rsid w:val="002A05C8"/>
    <w:rsid w:val="002A441C"/>
    <w:rsid w:val="002A4879"/>
    <w:rsid w:val="002A56A3"/>
    <w:rsid w:val="002A589F"/>
    <w:rsid w:val="002B1EE7"/>
    <w:rsid w:val="002B3217"/>
    <w:rsid w:val="002B4015"/>
    <w:rsid w:val="002B78CE"/>
    <w:rsid w:val="002C052D"/>
    <w:rsid w:val="002C0D3C"/>
    <w:rsid w:val="002C2172"/>
    <w:rsid w:val="002C2B9B"/>
    <w:rsid w:val="002C2FB6"/>
    <w:rsid w:val="002C3B47"/>
    <w:rsid w:val="002C4736"/>
    <w:rsid w:val="002C66F5"/>
    <w:rsid w:val="002D28A2"/>
    <w:rsid w:val="002D513B"/>
    <w:rsid w:val="002D58C8"/>
    <w:rsid w:val="002D5AC6"/>
    <w:rsid w:val="002E0FD6"/>
    <w:rsid w:val="002E2487"/>
    <w:rsid w:val="002E53C1"/>
    <w:rsid w:val="002E5448"/>
    <w:rsid w:val="002E5FA7"/>
    <w:rsid w:val="002E7F56"/>
    <w:rsid w:val="002F3309"/>
    <w:rsid w:val="002F48B9"/>
    <w:rsid w:val="002F4ADE"/>
    <w:rsid w:val="002F662E"/>
    <w:rsid w:val="002F7C7A"/>
    <w:rsid w:val="003008CE"/>
    <w:rsid w:val="003009B7"/>
    <w:rsid w:val="00300E56"/>
    <w:rsid w:val="00302395"/>
    <w:rsid w:val="00304363"/>
    <w:rsid w:val="0030469C"/>
    <w:rsid w:val="00304F47"/>
    <w:rsid w:val="00306BA4"/>
    <w:rsid w:val="003103FE"/>
    <w:rsid w:val="00312B89"/>
    <w:rsid w:val="00316658"/>
    <w:rsid w:val="00316970"/>
    <w:rsid w:val="00320328"/>
    <w:rsid w:val="003206FA"/>
    <w:rsid w:val="00320E0F"/>
    <w:rsid w:val="003214E6"/>
    <w:rsid w:val="00321CA6"/>
    <w:rsid w:val="003220C0"/>
    <w:rsid w:val="00322394"/>
    <w:rsid w:val="00322D04"/>
    <w:rsid w:val="00323763"/>
    <w:rsid w:val="00327586"/>
    <w:rsid w:val="00327590"/>
    <w:rsid w:val="00327B2B"/>
    <w:rsid w:val="00327D6B"/>
    <w:rsid w:val="00331727"/>
    <w:rsid w:val="003319A0"/>
    <w:rsid w:val="00333BD0"/>
    <w:rsid w:val="00334C09"/>
    <w:rsid w:val="0033596D"/>
    <w:rsid w:val="00337190"/>
    <w:rsid w:val="003402EE"/>
    <w:rsid w:val="00342978"/>
    <w:rsid w:val="003445E2"/>
    <w:rsid w:val="00344717"/>
    <w:rsid w:val="003457F9"/>
    <w:rsid w:val="0034643C"/>
    <w:rsid w:val="003475A4"/>
    <w:rsid w:val="00347D69"/>
    <w:rsid w:val="00351B6C"/>
    <w:rsid w:val="00351E47"/>
    <w:rsid w:val="00352F35"/>
    <w:rsid w:val="00354BFD"/>
    <w:rsid w:val="0035583A"/>
    <w:rsid w:val="003576F0"/>
    <w:rsid w:val="0035772B"/>
    <w:rsid w:val="00360518"/>
    <w:rsid w:val="0036209F"/>
    <w:rsid w:val="00364B2A"/>
    <w:rsid w:val="0036502D"/>
    <w:rsid w:val="0036666A"/>
    <w:rsid w:val="0036793A"/>
    <w:rsid w:val="003711BA"/>
    <w:rsid w:val="003712D6"/>
    <w:rsid w:val="003723D4"/>
    <w:rsid w:val="00377861"/>
    <w:rsid w:val="00377EDA"/>
    <w:rsid w:val="00381905"/>
    <w:rsid w:val="00384CC8"/>
    <w:rsid w:val="00385286"/>
    <w:rsid w:val="00386F7A"/>
    <w:rsid w:val="00386F97"/>
    <w:rsid w:val="003871FD"/>
    <w:rsid w:val="00397B64"/>
    <w:rsid w:val="00397F28"/>
    <w:rsid w:val="003A00CD"/>
    <w:rsid w:val="003A1E30"/>
    <w:rsid w:val="003A2829"/>
    <w:rsid w:val="003A2C45"/>
    <w:rsid w:val="003A2C5F"/>
    <w:rsid w:val="003A5394"/>
    <w:rsid w:val="003A549A"/>
    <w:rsid w:val="003A7D1C"/>
    <w:rsid w:val="003B304B"/>
    <w:rsid w:val="003B3146"/>
    <w:rsid w:val="003B4484"/>
    <w:rsid w:val="003B55E8"/>
    <w:rsid w:val="003B62D4"/>
    <w:rsid w:val="003C2E82"/>
    <w:rsid w:val="003C5F5A"/>
    <w:rsid w:val="003D1F1C"/>
    <w:rsid w:val="003D2C45"/>
    <w:rsid w:val="003D5C72"/>
    <w:rsid w:val="003D6179"/>
    <w:rsid w:val="003D63D5"/>
    <w:rsid w:val="003E12AD"/>
    <w:rsid w:val="003E27F2"/>
    <w:rsid w:val="003E2D12"/>
    <w:rsid w:val="003E4CB7"/>
    <w:rsid w:val="003E5FD2"/>
    <w:rsid w:val="003E6945"/>
    <w:rsid w:val="003F015E"/>
    <w:rsid w:val="003F3709"/>
    <w:rsid w:val="003F53F8"/>
    <w:rsid w:val="003F69FA"/>
    <w:rsid w:val="00400414"/>
    <w:rsid w:val="00401397"/>
    <w:rsid w:val="0040388B"/>
    <w:rsid w:val="00407AE0"/>
    <w:rsid w:val="00407AFE"/>
    <w:rsid w:val="00407BD9"/>
    <w:rsid w:val="00411805"/>
    <w:rsid w:val="00411890"/>
    <w:rsid w:val="00411CEB"/>
    <w:rsid w:val="0041305F"/>
    <w:rsid w:val="0041446B"/>
    <w:rsid w:val="004153D5"/>
    <w:rsid w:val="00416E8E"/>
    <w:rsid w:val="00417DFF"/>
    <w:rsid w:val="004202AE"/>
    <w:rsid w:val="004217AA"/>
    <w:rsid w:val="00424932"/>
    <w:rsid w:val="00425DA3"/>
    <w:rsid w:val="00425FFB"/>
    <w:rsid w:val="00430AB0"/>
    <w:rsid w:val="00430AE9"/>
    <w:rsid w:val="00431620"/>
    <w:rsid w:val="00433332"/>
    <w:rsid w:val="004339D5"/>
    <w:rsid w:val="00433A18"/>
    <w:rsid w:val="004377BA"/>
    <w:rsid w:val="0044004F"/>
    <w:rsid w:val="00440B4F"/>
    <w:rsid w:val="0044146D"/>
    <w:rsid w:val="0044329C"/>
    <w:rsid w:val="00445BE9"/>
    <w:rsid w:val="00446999"/>
    <w:rsid w:val="004526E4"/>
    <w:rsid w:val="00453E24"/>
    <w:rsid w:val="0045482E"/>
    <w:rsid w:val="00455BC6"/>
    <w:rsid w:val="00456AB8"/>
    <w:rsid w:val="00457456"/>
    <w:rsid w:val="004577FE"/>
    <w:rsid w:val="00457B9C"/>
    <w:rsid w:val="0046164A"/>
    <w:rsid w:val="004628D2"/>
    <w:rsid w:val="00462DCD"/>
    <w:rsid w:val="004643D9"/>
    <w:rsid w:val="004648AD"/>
    <w:rsid w:val="00464930"/>
    <w:rsid w:val="00465909"/>
    <w:rsid w:val="004666E6"/>
    <w:rsid w:val="00467ECA"/>
    <w:rsid w:val="004703A9"/>
    <w:rsid w:val="00470D15"/>
    <w:rsid w:val="00474B6B"/>
    <w:rsid w:val="00474FBB"/>
    <w:rsid w:val="004760DE"/>
    <w:rsid w:val="004763D7"/>
    <w:rsid w:val="0048063B"/>
    <w:rsid w:val="00482363"/>
    <w:rsid w:val="004866AF"/>
    <w:rsid w:val="00491A9E"/>
    <w:rsid w:val="00495E8A"/>
    <w:rsid w:val="00497649"/>
    <w:rsid w:val="00497809"/>
    <w:rsid w:val="004A004E"/>
    <w:rsid w:val="004A24CF"/>
    <w:rsid w:val="004A44BA"/>
    <w:rsid w:val="004A4F9C"/>
    <w:rsid w:val="004A68EF"/>
    <w:rsid w:val="004A6993"/>
    <w:rsid w:val="004A6D26"/>
    <w:rsid w:val="004B0472"/>
    <w:rsid w:val="004B21B4"/>
    <w:rsid w:val="004B326D"/>
    <w:rsid w:val="004B6444"/>
    <w:rsid w:val="004B7628"/>
    <w:rsid w:val="004C1FB0"/>
    <w:rsid w:val="004C3AF2"/>
    <w:rsid w:val="004C3D1D"/>
    <w:rsid w:val="004C54E1"/>
    <w:rsid w:val="004C6200"/>
    <w:rsid w:val="004C6E03"/>
    <w:rsid w:val="004C7913"/>
    <w:rsid w:val="004D097D"/>
    <w:rsid w:val="004D3D9D"/>
    <w:rsid w:val="004D52A2"/>
    <w:rsid w:val="004D5FE4"/>
    <w:rsid w:val="004D66D8"/>
    <w:rsid w:val="004D7421"/>
    <w:rsid w:val="004E2051"/>
    <w:rsid w:val="004E2202"/>
    <w:rsid w:val="004E24A0"/>
    <w:rsid w:val="004E3C5D"/>
    <w:rsid w:val="004E3D63"/>
    <w:rsid w:val="004E3FC3"/>
    <w:rsid w:val="004E41FA"/>
    <w:rsid w:val="004E4DD6"/>
    <w:rsid w:val="004E637F"/>
    <w:rsid w:val="004E7E8B"/>
    <w:rsid w:val="004F0796"/>
    <w:rsid w:val="004F0ABE"/>
    <w:rsid w:val="004F20D3"/>
    <w:rsid w:val="004F35EE"/>
    <w:rsid w:val="004F5E36"/>
    <w:rsid w:val="004F6BB3"/>
    <w:rsid w:val="004F7B49"/>
    <w:rsid w:val="00500FB5"/>
    <w:rsid w:val="00501184"/>
    <w:rsid w:val="00502F54"/>
    <w:rsid w:val="005054CF"/>
    <w:rsid w:val="005056C4"/>
    <w:rsid w:val="00507B47"/>
    <w:rsid w:val="00507BEF"/>
    <w:rsid w:val="00507CC9"/>
    <w:rsid w:val="00510077"/>
    <w:rsid w:val="00510426"/>
    <w:rsid w:val="00510EC5"/>
    <w:rsid w:val="005119A5"/>
    <w:rsid w:val="00514F67"/>
    <w:rsid w:val="0051675B"/>
    <w:rsid w:val="005171C8"/>
    <w:rsid w:val="0052259E"/>
    <w:rsid w:val="00523DF1"/>
    <w:rsid w:val="00525582"/>
    <w:rsid w:val="005278B7"/>
    <w:rsid w:val="00530032"/>
    <w:rsid w:val="00531E8E"/>
    <w:rsid w:val="00532016"/>
    <w:rsid w:val="005344C5"/>
    <w:rsid w:val="005346C8"/>
    <w:rsid w:val="00534996"/>
    <w:rsid w:val="00536CFF"/>
    <w:rsid w:val="00537DEA"/>
    <w:rsid w:val="005400D9"/>
    <w:rsid w:val="00543E7D"/>
    <w:rsid w:val="005446AD"/>
    <w:rsid w:val="00547A68"/>
    <w:rsid w:val="00551034"/>
    <w:rsid w:val="005516CD"/>
    <w:rsid w:val="005525D7"/>
    <w:rsid w:val="005531C9"/>
    <w:rsid w:val="00553266"/>
    <w:rsid w:val="005543E8"/>
    <w:rsid w:val="00555412"/>
    <w:rsid w:val="00555AA6"/>
    <w:rsid w:val="00560986"/>
    <w:rsid w:val="00562087"/>
    <w:rsid w:val="00565A23"/>
    <w:rsid w:val="00567728"/>
    <w:rsid w:val="00570BDF"/>
    <w:rsid w:val="00570C43"/>
    <w:rsid w:val="00572857"/>
    <w:rsid w:val="00574CFC"/>
    <w:rsid w:val="005754AC"/>
    <w:rsid w:val="0057578D"/>
    <w:rsid w:val="0057696C"/>
    <w:rsid w:val="00576C32"/>
    <w:rsid w:val="00577F7B"/>
    <w:rsid w:val="00580F42"/>
    <w:rsid w:val="005831E7"/>
    <w:rsid w:val="00585A56"/>
    <w:rsid w:val="00586526"/>
    <w:rsid w:val="00586F63"/>
    <w:rsid w:val="00587079"/>
    <w:rsid w:val="00587363"/>
    <w:rsid w:val="00587C93"/>
    <w:rsid w:val="00591AC1"/>
    <w:rsid w:val="00591BFD"/>
    <w:rsid w:val="005920B6"/>
    <w:rsid w:val="005944CD"/>
    <w:rsid w:val="00595211"/>
    <w:rsid w:val="005A2C47"/>
    <w:rsid w:val="005A4838"/>
    <w:rsid w:val="005A601F"/>
    <w:rsid w:val="005A6930"/>
    <w:rsid w:val="005B2110"/>
    <w:rsid w:val="005B468A"/>
    <w:rsid w:val="005B5743"/>
    <w:rsid w:val="005B61E6"/>
    <w:rsid w:val="005C05D6"/>
    <w:rsid w:val="005C363C"/>
    <w:rsid w:val="005C3973"/>
    <w:rsid w:val="005C622C"/>
    <w:rsid w:val="005C77E1"/>
    <w:rsid w:val="005D00BD"/>
    <w:rsid w:val="005D1B4C"/>
    <w:rsid w:val="005D201D"/>
    <w:rsid w:val="005D2553"/>
    <w:rsid w:val="005D4D1F"/>
    <w:rsid w:val="005D668A"/>
    <w:rsid w:val="005D6A2F"/>
    <w:rsid w:val="005D70AD"/>
    <w:rsid w:val="005E1A82"/>
    <w:rsid w:val="005E2152"/>
    <w:rsid w:val="005E4F54"/>
    <w:rsid w:val="005E630E"/>
    <w:rsid w:val="005E7008"/>
    <w:rsid w:val="005E7299"/>
    <w:rsid w:val="005E794C"/>
    <w:rsid w:val="005F0A28"/>
    <w:rsid w:val="005F0E5E"/>
    <w:rsid w:val="005F1F9D"/>
    <w:rsid w:val="005F3918"/>
    <w:rsid w:val="005F4661"/>
    <w:rsid w:val="00600535"/>
    <w:rsid w:val="006020BB"/>
    <w:rsid w:val="006030FA"/>
    <w:rsid w:val="00607EBA"/>
    <w:rsid w:val="00610A4E"/>
    <w:rsid w:val="00610CD6"/>
    <w:rsid w:val="00611944"/>
    <w:rsid w:val="006121FA"/>
    <w:rsid w:val="00613EA1"/>
    <w:rsid w:val="0061685B"/>
    <w:rsid w:val="0061738C"/>
    <w:rsid w:val="00617FEC"/>
    <w:rsid w:val="006201F6"/>
    <w:rsid w:val="00620DEE"/>
    <w:rsid w:val="00621F92"/>
    <w:rsid w:val="0062280A"/>
    <w:rsid w:val="00622BD1"/>
    <w:rsid w:val="0062548E"/>
    <w:rsid w:val="00625639"/>
    <w:rsid w:val="00626474"/>
    <w:rsid w:val="0062656E"/>
    <w:rsid w:val="00626DCC"/>
    <w:rsid w:val="00631138"/>
    <w:rsid w:val="00631B33"/>
    <w:rsid w:val="00633352"/>
    <w:rsid w:val="00633562"/>
    <w:rsid w:val="0063480B"/>
    <w:rsid w:val="006355B8"/>
    <w:rsid w:val="006368E9"/>
    <w:rsid w:val="006402FF"/>
    <w:rsid w:val="00640D91"/>
    <w:rsid w:val="0064153C"/>
    <w:rsid w:val="0064184D"/>
    <w:rsid w:val="006422CC"/>
    <w:rsid w:val="00642A78"/>
    <w:rsid w:val="00643B26"/>
    <w:rsid w:val="00645AB9"/>
    <w:rsid w:val="00645F66"/>
    <w:rsid w:val="00647AF9"/>
    <w:rsid w:val="00650B87"/>
    <w:rsid w:val="00651FEC"/>
    <w:rsid w:val="00652202"/>
    <w:rsid w:val="0065289F"/>
    <w:rsid w:val="006540A7"/>
    <w:rsid w:val="0065600D"/>
    <w:rsid w:val="006573B6"/>
    <w:rsid w:val="00657C41"/>
    <w:rsid w:val="00660542"/>
    <w:rsid w:val="00660E3E"/>
    <w:rsid w:val="00661A48"/>
    <w:rsid w:val="00662E74"/>
    <w:rsid w:val="00664613"/>
    <w:rsid w:val="00665323"/>
    <w:rsid w:val="006662E9"/>
    <w:rsid w:val="00666D79"/>
    <w:rsid w:val="00667325"/>
    <w:rsid w:val="0067190A"/>
    <w:rsid w:val="00674342"/>
    <w:rsid w:val="00676576"/>
    <w:rsid w:val="00680C23"/>
    <w:rsid w:val="00680FB0"/>
    <w:rsid w:val="00683B7F"/>
    <w:rsid w:val="00686E6F"/>
    <w:rsid w:val="00687BE4"/>
    <w:rsid w:val="00693766"/>
    <w:rsid w:val="00693F18"/>
    <w:rsid w:val="006951E6"/>
    <w:rsid w:val="0069532D"/>
    <w:rsid w:val="00695DDB"/>
    <w:rsid w:val="006A0E03"/>
    <w:rsid w:val="006A3281"/>
    <w:rsid w:val="006A45E0"/>
    <w:rsid w:val="006A5F22"/>
    <w:rsid w:val="006A7EE4"/>
    <w:rsid w:val="006B15AC"/>
    <w:rsid w:val="006B4888"/>
    <w:rsid w:val="006B6DBF"/>
    <w:rsid w:val="006B7C3A"/>
    <w:rsid w:val="006C03B3"/>
    <w:rsid w:val="006C200D"/>
    <w:rsid w:val="006C2891"/>
    <w:rsid w:val="006C2B61"/>
    <w:rsid w:val="006C2C25"/>
    <w:rsid w:val="006C2E45"/>
    <w:rsid w:val="006C325E"/>
    <w:rsid w:val="006C3333"/>
    <w:rsid w:val="006C359C"/>
    <w:rsid w:val="006C3CF6"/>
    <w:rsid w:val="006C5579"/>
    <w:rsid w:val="006C7147"/>
    <w:rsid w:val="006C71B9"/>
    <w:rsid w:val="006D020E"/>
    <w:rsid w:val="006D2FDB"/>
    <w:rsid w:val="006D354E"/>
    <w:rsid w:val="006D59AC"/>
    <w:rsid w:val="006D6E8B"/>
    <w:rsid w:val="006D721F"/>
    <w:rsid w:val="006E01D8"/>
    <w:rsid w:val="006E5A37"/>
    <w:rsid w:val="006E7115"/>
    <w:rsid w:val="006E737D"/>
    <w:rsid w:val="006F04BE"/>
    <w:rsid w:val="006F06A1"/>
    <w:rsid w:val="006F4228"/>
    <w:rsid w:val="006F4802"/>
    <w:rsid w:val="00701547"/>
    <w:rsid w:val="0070452B"/>
    <w:rsid w:val="00704C56"/>
    <w:rsid w:val="00706B20"/>
    <w:rsid w:val="007073BD"/>
    <w:rsid w:val="007073F1"/>
    <w:rsid w:val="00707455"/>
    <w:rsid w:val="00710ADC"/>
    <w:rsid w:val="00710E4A"/>
    <w:rsid w:val="00713973"/>
    <w:rsid w:val="007146F2"/>
    <w:rsid w:val="00715E3E"/>
    <w:rsid w:val="00717998"/>
    <w:rsid w:val="00720394"/>
    <w:rsid w:val="0072081A"/>
    <w:rsid w:val="00720A24"/>
    <w:rsid w:val="00721D23"/>
    <w:rsid w:val="00722E85"/>
    <w:rsid w:val="00722FD9"/>
    <w:rsid w:val="00723BF4"/>
    <w:rsid w:val="007262E6"/>
    <w:rsid w:val="0072636F"/>
    <w:rsid w:val="007268C7"/>
    <w:rsid w:val="00732386"/>
    <w:rsid w:val="00733FAB"/>
    <w:rsid w:val="007341BA"/>
    <w:rsid w:val="00734F30"/>
    <w:rsid w:val="0073514D"/>
    <w:rsid w:val="0073628E"/>
    <w:rsid w:val="00740D99"/>
    <w:rsid w:val="00743570"/>
    <w:rsid w:val="007447F3"/>
    <w:rsid w:val="00744DAB"/>
    <w:rsid w:val="00744E38"/>
    <w:rsid w:val="00751FB7"/>
    <w:rsid w:val="0075499F"/>
    <w:rsid w:val="00754FFB"/>
    <w:rsid w:val="00756736"/>
    <w:rsid w:val="007576FC"/>
    <w:rsid w:val="00757D5C"/>
    <w:rsid w:val="00761D4F"/>
    <w:rsid w:val="007627D8"/>
    <w:rsid w:val="007661C8"/>
    <w:rsid w:val="0077098D"/>
    <w:rsid w:val="007726B7"/>
    <w:rsid w:val="007733B3"/>
    <w:rsid w:val="007749B8"/>
    <w:rsid w:val="00775721"/>
    <w:rsid w:val="00775CBB"/>
    <w:rsid w:val="00781B2C"/>
    <w:rsid w:val="007823B3"/>
    <w:rsid w:val="007861B0"/>
    <w:rsid w:val="00786295"/>
    <w:rsid w:val="007931FA"/>
    <w:rsid w:val="0079475B"/>
    <w:rsid w:val="00795FD7"/>
    <w:rsid w:val="0079677C"/>
    <w:rsid w:val="007A06EC"/>
    <w:rsid w:val="007A1012"/>
    <w:rsid w:val="007A11DD"/>
    <w:rsid w:val="007A4861"/>
    <w:rsid w:val="007A518A"/>
    <w:rsid w:val="007A7BBA"/>
    <w:rsid w:val="007B00ED"/>
    <w:rsid w:val="007B0C50"/>
    <w:rsid w:val="007B3604"/>
    <w:rsid w:val="007B39D1"/>
    <w:rsid w:val="007B48F9"/>
    <w:rsid w:val="007B7481"/>
    <w:rsid w:val="007C0201"/>
    <w:rsid w:val="007C1367"/>
    <w:rsid w:val="007C199D"/>
    <w:rsid w:val="007C1A43"/>
    <w:rsid w:val="007C23F5"/>
    <w:rsid w:val="007C3727"/>
    <w:rsid w:val="007C5AB0"/>
    <w:rsid w:val="007C72C0"/>
    <w:rsid w:val="007D02C1"/>
    <w:rsid w:val="007D18DE"/>
    <w:rsid w:val="007D39A6"/>
    <w:rsid w:val="007E119D"/>
    <w:rsid w:val="007E7C91"/>
    <w:rsid w:val="007F238E"/>
    <w:rsid w:val="007F34A9"/>
    <w:rsid w:val="007F3AC8"/>
    <w:rsid w:val="007F7190"/>
    <w:rsid w:val="0080002E"/>
    <w:rsid w:val="0080013E"/>
    <w:rsid w:val="00801257"/>
    <w:rsid w:val="0080151C"/>
    <w:rsid w:val="00801AFC"/>
    <w:rsid w:val="008064BD"/>
    <w:rsid w:val="008067DE"/>
    <w:rsid w:val="0081049E"/>
    <w:rsid w:val="008109E6"/>
    <w:rsid w:val="00812291"/>
    <w:rsid w:val="008125EB"/>
    <w:rsid w:val="00812FCF"/>
    <w:rsid w:val="00813288"/>
    <w:rsid w:val="00813A5B"/>
    <w:rsid w:val="00816392"/>
    <w:rsid w:val="008168FC"/>
    <w:rsid w:val="008231E0"/>
    <w:rsid w:val="00824661"/>
    <w:rsid w:val="008246AE"/>
    <w:rsid w:val="00825DD9"/>
    <w:rsid w:val="00825FF9"/>
    <w:rsid w:val="008270C9"/>
    <w:rsid w:val="008301CF"/>
    <w:rsid w:val="00830996"/>
    <w:rsid w:val="008309C4"/>
    <w:rsid w:val="008319D4"/>
    <w:rsid w:val="008345F1"/>
    <w:rsid w:val="008347D2"/>
    <w:rsid w:val="00835985"/>
    <w:rsid w:val="008362CD"/>
    <w:rsid w:val="00842E68"/>
    <w:rsid w:val="00843F7D"/>
    <w:rsid w:val="00843F91"/>
    <w:rsid w:val="00845752"/>
    <w:rsid w:val="00846D5F"/>
    <w:rsid w:val="00850578"/>
    <w:rsid w:val="008517CC"/>
    <w:rsid w:val="00853BE4"/>
    <w:rsid w:val="0085581A"/>
    <w:rsid w:val="00855866"/>
    <w:rsid w:val="00860CE4"/>
    <w:rsid w:val="00862CB6"/>
    <w:rsid w:val="00863181"/>
    <w:rsid w:val="00865ABA"/>
    <w:rsid w:val="00865B07"/>
    <w:rsid w:val="008667EA"/>
    <w:rsid w:val="0087383F"/>
    <w:rsid w:val="00873A61"/>
    <w:rsid w:val="00873B1B"/>
    <w:rsid w:val="008756CF"/>
    <w:rsid w:val="00875719"/>
    <w:rsid w:val="00875C2F"/>
    <w:rsid w:val="0087637F"/>
    <w:rsid w:val="00877780"/>
    <w:rsid w:val="00883CC6"/>
    <w:rsid w:val="00884101"/>
    <w:rsid w:val="00884AF7"/>
    <w:rsid w:val="008856EC"/>
    <w:rsid w:val="00885983"/>
    <w:rsid w:val="00885EE6"/>
    <w:rsid w:val="008862CF"/>
    <w:rsid w:val="008877A6"/>
    <w:rsid w:val="00891B57"/>
    <w:rsid w:val="00892AD5"/>
    <w:rsid w:val="00895A88"/>
    <w:rsid w:val="00895C0E"/>
    <w:rsid w:val="008A1512"/>
    <w:rsid w:val="008A382B"/>
    <w:rsid w:val="008A6DDA"/>
    <w:rsid w:val="008B0452"/>
    <w:rsid w:val="008B20D7"/>
    <w:rsid w:val="008B6A22"/>
    <w:rsid w:val="008C02F1"/>
    <w:rsid w:val="008C14A5"/>
    <w:rsid w:val="008C5180"/>
    <w:rsid w:val="008D1FDC"/>
    <w:rsid w:val="008D32B9"/>
    <w:rsid w:val="008D433B"/>
    <w:rsid w:val="008D5EEE"/>
    <w:rsid w:val="008D6C73"/>
    <w:rsid w:val="008E18D7"/>
    <w:rsid w:val="008E3449"/>
    <w:rsid w:val="008E34CA"/>
    <w:rsid w:val="008E47EC"/>
    <w:rsid w:val="008E4A09"/>
    <w:rsid w:val="008E566E"/>
    <w:rsid w:val="008E61B9"/>
    <w:rsid w:val="008E74C7"/>
    <w:rsid w:val="008F06A2"/>
    <w:rsid w:val="008F20F8"/>
    <w:rsid w:val="008F345D"/>
    <w:rsid w:val="008F5973"/>
    <w:rsid w:val="008F6186"/>
    <w:rsid w:val="0090045F"/>
    <w:rsid w:val="0090103D"/>
    <w:rsid w:val="0090161A"/>
    <w:rsid w:val="00901EB6"/>
    <w:rsid w:val="0090391A"/>
    <w:rsid w:val="00904C62"/>
    <w:rsid w:val="00905558"/>
    <w:rsid w:val="009056DC"/>
    <w:rsid w:val="0090570D"/>
    <w:rsid w:val="009058E8"/>
    <w:rsid w:val="009109B5"/>
    <w:rsid w:val="009116EE"/>
    <w:rsid w:val="00911E8B"/>
    <w:rsid w:val="0091421F"/>
    <w:rsid w:val="009157CC"/>
    <w:rsid w:val="00917F82"/>
    <w:rsid w:val="009219EA"/>
    <w:rsid w:val="00922BA8"/>
    <w:rsid w:val="009243D6"/>
    <w:rsid w:val="00924DAC"/>
    <w:rsid w:val="0092552F"/>
    <w:rsid w:val="009265E4"/>
    <w:rsid w:val="009269EA"/>
    <w:rsid w:val="00927058"/>
    <w:rsid w:val="009277E0"/>
    <w:rsid w:val="0093035B"/>
    <w:rsid w:val="00930E43"/>
    <w:rsid w:val="00930F72"/>
    <w:rsid w:val="009310BA"/>
    <w:rsid w:val="00931869"/>
    <w:rsid w:val="0093437E"/>
    <w:rsid w:val="00934499"/>
    <w:rsid w:val="00935924"/>
    <w:rsid w:val="00935F1F"/>
    <w:rsid w:val="009362F8"/>
    <w:rsid w:val="00940E14"/>
    <w:rsid w:val="00940FE6"/>
    <w:rsid w:val="00942750"/>
    <w:rsid w:val="00942AC7"/>
    <w:rsid w:val="0094448E"/>
    <w:rsid w:val="009450CE"/>
    <w:rsid w:val="00947179"/>
    <w:rsid w:val="00950693"/>
    <w:rsid w:val="0095164B"/>
    <w:rsid w:val="00952224"/>
    <w:rsid w:val="009523F0"/>
    <w:rsid w:val="00952B7A"/>
    <w:rsid w:val="009537B6"/>
    <w:rsid w:val="00954090"/>
    <w:rsid w:val="00955017"/>
    <w:rsid w:val="00955BC3"/>
    <w:rsid w:val="0095667C"/>
    <w:rsid w:val="009573E7"/>
    <w:rsid w:val="009614C2"/>
    <w:rsid w:val="0096282D"/>
    <w:rsid w:val="00963E05"/>
    <w:rsid w:val="0096455F"/>
    <w:rsid w:val="00967843"/>
    <w:rsid w:val="00967D54"/>
    <w:rsid w:val="00970972"/>
    <w:rsid w:val="00971028"/>
    <w:rsid w:val="00971DD4"/>
    <w:rsid w:val="00971EEE"/>
    <w:rsid w:val="00972E41"/>
    <w:rsid w:val="00973DBE"/>
    <w:rsid w:val="00976435"/>
    <w:rsid w:val="00981370"/>
    <w:rsid w:val="00982648"/>
    <w:rsid w:val="00982EAD"/>
    <w:rsid w:val="00993922"/>
    <w:rsid w:val="00993B84"/>
    <w:rsid w:val="00993DCE"/>
    <w:rsid w:val="00995EC9"/>
    <w:rsid w:val="00996483"/>
    <w:rsid w:val="00996F5A"/>
    <w:rsid w:val="00997CEA"/>
    <w:rsid w:val="009A0A90"/>
    <w:rsid w:val="009A2853"/>
    <w:rsid w:val="009A5779"/>
    <w:rsid w:val="009B041A"/>
    <w:rsid w:val="009B10DE"/>
    <w:rsid w:val="009B326D"/>
    <w:rsid w:val="009B3BF9"/>
    <w:rsid w:val="009B4FF9"/>
    <w:rsid w:val="009B678A"/>
    <w:rsid w:val="009B6CE2"/>
    <w:rsid w:val="009B7547"/>
    <w:rsid w:val="009C37C3"/>
    <w:rsid w:val="009C6036"/>
    <w:rsid w:val="009C7578"/>
    <w:rsid w:val="009C7C86"/>
    <w:rsid w:val="009D1490"/>
    <w:rsid w:val="009D2869"/>
    <w:rsid w:val="009D2FF7"/>
    <w:rsid w:val="009D4477"/>
    <w:rsid w:val="009D4871"/>
    <w:rsid w:val="009E0C55"/>
    <w:rsid w:val="009E2BBA"/>
    <w:rsid w:val="009E5064"/>
    <w:rsid w:val="009E7884"/>
    <w:rsid w:val="009E788A"/>
    <w:rsid w:val="009F06AB"/>
    <w:rsid w:val="009F0E08"/>
    <w:rsid w:val="009F2316"/>
    <w:rsid w:val="009F31E4"/>
    <w:rsid w:val="009F3887"/>
    <w:rsid w:val="009F3BD9"/>
    <w:rsid w:val="009F610B"/>
    <w:rsid w:val="009F6974"/>
    <w:rsid w:val="009F6A1D"/>
    <w:rsid w:val="00A0077B"/>
    <w:rsid w:val="00A02FC1"/>
    <w:rsid w:val="00A0300B"/>
    <w:rsid w:val="00A05F35"/>
    <w:rsid w:val="00A06228"/>
    <w:rsid w:val="00A06CE3"/>
    <w:rsid w:val="00A07A84"/>
    <w:rsid w:val="00A103F1"/>
    <w:rsid w:val="00A10FE7"/>
    <w:rsid w:val="00A123E8"/>
    <w:rsid w:val="00A1270C"/>
    <w:rsid w:val="00A12D87"/>
    <w:rsid w:val="00A1763D"/>
    <w:rsid w:val="00A17735"/>
    <w:rsid w:val="00A17CEC"/>
    <w:rsid w:val="00A209A7"/>
    <w:rsid w:val="00A226E9"/>
    <w:rsid w:val="00A23F6D"/>
    <w:rsid w:val="00A26BE5"/>
    <w:rsid w:val="00A27EF0"/>
    <w:rsid w:val="00A31171"/>
    <w:rsid w:val="00A32545"/>
    <w:rsid w:val="00A3383F"/>
    <w:rsid w:val="00A35622"/>
    <w:rsid w:val="00A36DF4"/>
    <w:rsid w:val="00A40E73"/>
    <w:rsid w:val="00A42361"/>
    <w:rsid w:val="00A448AE"/>
    <w:rsid w:val="00A504B4"/>
    <w:rsid w:val="00A50B20"/>
    <w:rsid w:val="00A51390"/>
    <w:rsid w:val="00A52C2C"/>
    <w:rsid w:val="00A60D13"/>
    <w:rsid w:val="00A6259F"/>
    <w:rsid w:val="00A63B94"/>
    <w:rsid w:val="00A6782E"/>
    <w:rsid w:val="00A72745"/>
    <w:rsid w:val="00A759D0"/>
    <w:rsid w:val="00A76EFC"/>
    <w:rsid w:val="00A81D29"/>
    <w:rsid w:val="00A81F8E"/>
    <w:rsid w:val="00A837FB"/>
    <w:rsid w:val="00A86792"/>
    <w:rsid w:val="00A8714F"/>
    <w:rsid w:val="00A91010"/>
    <w:rsid w:val="00A91935"/>
    <w:rsid w:val="00A93FA6"/>
    <w:rsid w:val="00A942F8"/>
    <w:rsid w:val="00A94DB2"/>
    <w:rsid w:val="00A965C3"/>
    <w:rsid w:val="00A968A5"/>
    <w:rsid w:val="00A97F29"/>
    <w:rsid w:val="00AA6573"/>
    <w:rsid w:val="00AA6DB6"/>
    <w:rsid w:val="00AA702E"/>
    <w:rsid w:val="00AA7E36"/>
    <w:rsid w:val="00AB0964"/>
    <w:rsid w:val="00AB1DC4"/>
    <w:rsid w:val="00AB1E18"/>
    <w:rsid w:val="00AB5011"/>
    <w:rsid w:val="00AB6AC4"/>
    <w:rsid w:val="00AB6E76"/>
    <w:rsid w:val="00AB7356"/>
    <w:rsid w:val="00AC11E6"/>
    <w:rsid w:val="00AC25AD"/>
    <w:rsid w:val="00AC37BC"/>
    <w:rsid w:val="00AC5EC1"/>
    <w:rsid w:val="00AC6054"/>
    <w:rsid w:val="00AC7368"/>
    <w:rsid w:val="00AC77FC"/>
    <w:rsid w:val="00AD08DF"/>
    <w:rsid w:val="00AD16B9"/>
    <w:rsid w:val="00AD1D60"/>
    <w:rsid w:val="00AD620D"/>
    <w:rsid w:val="00AE125A"/>
    <w:rsid w:val="00AE377D"/>
    <w:rsid w:val="00AE4607"/>
    <w:rsid w:val="00AE56E2"/>
    <w:rsid w:val="00AE6DF0"/>
    <w:rsid w:val="00AF0EBA"/>
    <w:rsid w:val="00B02A09"/>
    <w:rsid w:val="00B02C8A"/>
    <w:rsid w:val="00B02DA7"/>
    <w:rsid w:val="00B036EA"/>
    <w:rsid w:val="00B05C72"/>
    <w:rsid w:val="00B0743A"/>
    <w:rsid w:val="00B07BCF"/>
    <w:rsid w:val="00B113A3"/>
    <w:rsid w:val="00B13096"/>
    <w:rsid w:val="00B1405D"/>
    <w:rsid w:val="00B15E39"/>
    <w:rsid w:val="00B17BB0"/>
    <w:rsid w:val="00B17FBD"/>
    <w:rsid w:val="00B209DD"/>
    <w:rsid w:val="00B22E3C"/>
    <w:rsid w:val="00B2300C"/>
    <w:rsid w:val="00B23339"/>
    <w:rsid w:val="00B23429"/>
    <w:rsid w:val="00B249F8"/>
    <w:rsid w:val="00B25828"/>
    <w:rsid w:val="00B311E5"/>
    <w:rsid w:val="00B315A6"/>
    <w:rsid w:val="00B317BB"/>
    <w:rsid w:val="00B31813"/>
    <w:rsid w:val="00B33365"/>
    <w:rsid w:val="00B33A01"/>
    <w:rsid w:val="00B35A37"/>
    <w:rsid w:val="00B35B37"/>
    <w:rsid w:val="00B43C9C"/>
    <w:rsid w:val="00B52379"/>
    <w:rsid w:val="00B52ADE"/>
    <w:rsid w:val="00B535BD"/>
    <w:rsid w:val="00B54074"/>
    <w:rsid w:val="00B551EC"/>
    <w:rsid w:val="00B55881"/>
    <w:rsid w:val="00B5795E"/>
    <w:rsid w:val="00B57B36"/>
    <w:rsid w:val="00B57E6F"/>
    <w:rsid w:val="00B63D58"/>
    <w:rsid w:val="00B6594D"/>
    <w:rsid w:val="00B663DB"/>
    <w:rsid w:val="00B67718"/>
    <w:rsid w:val="00B67E66"/>
    <w:rsid w:val="00B704F2"/>
    <w:rsid w:val="00B74461"/>
    <w:rsid w:val="00B75537"/>
    <w:rsid w:val="00B762A0"/>
    <w:rsid w:val="00B7792C"/>
    <w:rsid w:val="00B77D62"/>
    <w:rsid w:val="00B8188B"/>
    <w:rsid w:val="00B81D86"/>
    <w:rsid w:val="00B83C2A"/>
    <w:rsid w:val="00B83F83"/>
    <w:rsid w:val="00B8485B"/>
    <w:rsid w:val="00B84A13"/>
    <w:rsid w:val="00B853C4"/>
    <w:rsid w:val="00B86148"/>
    <w:rsid w:val="00B8686D"/>
    <w:rsid w:val="00B87664"/>
    <w:rsid w:val="00B9323A"/>
    <w:rsid w:val="00B937F0"/>
    <w:rsid w:val="00B93CDF"/>
    <w:rsid w:val="00B93F69"/>
    <w:rsid w:val="00B96487"/>
    <w:rsid w:val="00B965EA"/>
    <w:rsid w:val="00B96DED"/>
    <w:rsid w:val="00BA1107"/>
    <w:rsid w:val="00BA11B4"/>
    <w:rsid w:val="00BA124F"/>
    <w:rsid w:val="00BA145D"/>
    <w:rsid w:val="00BA20F0"/>
    <w:rsid w:val="00BA7694"/>
    <w:rsid w:val="00BA7BA5"/>
    <w:rsid w:val="00BB054E"/>
    <w:rsid w:val="00BB1DDC"/>
    <w:rsid w:val="00BB3D93"/>
    <w:rsid w:val="00BB5137"/>
    <w:rsid w:val="00BB54FA"/>
    <w:rsid w:val="00BB65F4"/>
    <w:rsid w:val="00BC30C9"/>
    <w:rsid w:val="00BC43C8"/>
    <w:rsid w:val="00BC4559"/>
    <w:rsid w:val="00BC6F1F"/>
    <w:rsid w:val="00BC75F4"/>
    <w:rsid w:val="00BD077D"/>
    <w:rsid w:val="00BD14D9"/>
    <w:rsid w:val="00BD21C9"/>
    <w:rsid w:val="00BD2438"/>
    <w:rsid w:val="00BD3E6F"/>
    <w:rsid w:val="00BD5687"/>
    <w:rsid w:val="00BD56B2"/>
    <w:rsid w:val="00BD5713"/>
    <w:rsid w:val="00BE1A54"/>
    <w:rsid w:val="00BE1C1D"/>
    <w:rsid w:val="00BE3E58"/>
    <w:rsid w:val="00BE57BE"/>
    <w:rsid w:val="00BF48D4"/>
    <w:rsid w:val="00BF609C"/>
    <w:rsid w:val="00BF7A36"/>
    <w:rsid w:val="00C01616"/>
    <w:rsid w:val="00C0162B"/>
    <w:rsid w:val="00C02FD3"/>
    <w:rsid w:val="00C05874"/>
    <w:rsid w:val="00C06346"/>
    <w:rsid w:val="00C0654C"/>
    <w:rsid w:val="00C068E7"/>
    <w:rsid w:val="00C068ED"/>
    <w:rsid w:val="00C10E77"/>
    <w:rsid w:val="00C13DE9"/>
    <w:rsid w:val="00C202EF"/>
    <w:rsid w:val="00C206B0"/>
    <w:rsid w:val="00C22019"/>
    <w:rsid w:val="00C229D4"/>
    <w:rsid w:val="00C22E0C"/>
    <w:rsid w:val="00C23F1E"/>
    <w:rsid w:val="00C250E7"/>
    <w:rsid w:val="00C26363"/>
    <w:rsid w:val="00C30BD3"/>
    <w:rsid w:val="00C325B4"/>
    <w:rsid w:val="00C327A0"/>
    <w:rsid w:val="00C32EB4"/>
    <w:rsid w:val="00C345B1"/>
    <w:rsid w:val="00C37D82"/>
    <w:rsid w:val="00C40142"/>
    <w:rsid w:val="00C42DB4"/>
    <w:rsid w:val="00C457BB"/>
    <w:rsid w:val="00C45828"/>
    <w:rsid w:val="00C50A19"/>
    <w:rsid w:val="00C525D5"/>
    <w:rsid w:val="00C52C3C"/>
    <w:rsid w:val="00C52DEE"/>
    <w:rsid w:val="00C56593"/>
    <w:rsid w:val="00C57182"/>
    <w:rsid w:val="00C57863"/>
    <w:rsid w:val="00C6012A"/>
    <w:rsid w:val="00C61C89"/>
    <w:rsid w:val="00C62467"/>
    <w:rsid w:val="00C62756"/>
    <w:rsid w:val="00C6312A"/>
    <w:rsid w:val="00C63CB3"/>
    <w:rsid w:val="00C64B5E"/>
    <w:rsid w:val="00C655FD"/>
    <w:rsid w:val="00C660B3"/>
    <w:rsid w:val="00C66350"/>
    <w:rsid w:val="00C67FE7"/>
    <w:rsid w:val="00C70583"/>
    <w:rsid w:val="00C71AD7"/>
    <w:rsid w:val="00C72C5B"/>
    <w:rsid w:val="00C7303E"/>
    <w:rsid w:val="00C738A4"/>
    <w:rsid w:val="00C75407"/>
    <w:rsid w:val="00C7682F"/>
    <w:rsid w:val="00C807F4"/>
    <w:rsid w:val="00C826E2"/>
    <w:rsid w:val="00C82F19"/>
    <w:rsid w:val="00C84111"/>
    <w:rsid w:val="00C86AD9"/>
    <w:rsid w:val="00C870A8"/>
    <w:rsid w:val="00C877AE"/>
    <w:rsid w:val="00C907A9"/>
    <w:rsid w:val="00C9126F"/>
    <w:rsid w:val="00C926AB"/>
    <w:rsid w:val="00C92FA7"/>
    <w:rsid w:val="00C94434"/>
    <w:rsid w:val="00C94B79"/>
    <w:rsid w:val="00CA00DF"/>
    <w:rsid w:val="00CA0D75"/>
    <w:rsid w:val="00CA1C95"/>
    <w:rsid w:val="00CA2FEF"/>
    <w:rsid w:val="00CA3E52"/>
    <w:rsid w:val="00CA4106"/>
    <w:rsid w:val="00CA5A9C"/>
    <w:rsid w:val="00CA68F3"/>
    <w:rsid w:val="00CA7BA3"/>
    <w:rsid w:val="00CB1080"/>
    <w:rsid w:val="00CB1701"/>
    <w:rsid w:val="00CB1C44"/>
    <w:rsid w:val="00CB36BE"/>
    <w:rsid w:val="00CB3EE6"/>
    <w:rsid w:val="00CB41D1"/>
    <w:rsid w:val="00CB606B"/>
    <w:rsid w:val="00CB6944"/>
    <w:rsid w:val="00CB6D8F"/>
    <w:rsid w:val="00CC0477"/>
    <w:rsid w:val="00CC076F"/>
    <w:rsid w:val="00CC1B38"/>
    <w:rsid w:val="00CC31B1"/>
    <w:rsid w:val="00CC4C20"/>
    <w:rsid w:val="00CC697A"/>
    <w:rsid w:val="00CC6E41"/>
    <w:rsid w:val="00CC76E3"/>
    <w:rsid w:val="00CC7FF8"/>
    <w:rsid w:val="00CD2828"/>
    <w:rsid w:val="00CD2F67"/>
    <w:rsid w:val="00CD3517"/>
    <w:rsid w:val="00CD5FE2"/>
    <w:rsid w:val="00CD73EB"/>
    <w:rsid w:val="00CD7490"/>
    <w:rsid w:val="00CE13C0"/>
    <w:rsid w:val="00CE3FAC"/>
    <w:rsid w:val="00CE4438"/>
    <w:rsid w:val="00CE487C"/>
    <w:rsid w:val="00CE58CB"/>
    <w:rsid w:val="00CE6A1A"/>
    <w:rsid w:val="00CE79BF"/>
    <w:rsid w:val="00CE7C68"/>
    <w:rsid w:val="00CE7E70"/>
    <w:rsid w:val="00CF2AF8"/>
    <w:rsid w:val="00CF4DC7"/>
    <w:rsid w:val="00CF635B"/>
    <w:rsid w:val="00D000AA"/>
    <w:rsid w:val="00D01CB8"/>
    <w:rsid w:val="00D02B4C"/>
    <w:rsid w:val="00D040C4"/>
    <w:rsid w:val="00D0504C"/>
    <w:rsid w:val="00D068B2"/>
    <w:rsid w:val="00D06D6C"/>
    <w:rsid w:val="00D07B77"/>
    <w:rsid w:val="00D1045E"/>
    <w:rsid w:val="00D143B3"/>
    <w:rsid w:val="00D17785"/>
    <w:rsid w:val="00D20053"/>
    <w:rsid w:val="00D2535B"/>
    <w:rsid w:val="00D33E8C"/>
    <w:rsid w:val="00D35277"/>
    <w:rsid w:val="00D35422"/>
    <w:rsid w:val="00D4265C"/>
    <w:rsid w:val="00D44462"/>
    <w:rsid w:val="00D45CA7"/>
    <w:rsid w:val="00D46325"/>
    <w:rsid w:val="00D46537"/>
    <w:rsid w:val="00D46B7E"/>
    <w:rsid w:val="00D46B80"/>
    <w:rsid w:val="00D50229"/>
    <w:rsid w:val="00D505C0"/>
    <w:rsid w:val="00D5133D"/>
    <w:rsid w:val="00D51417"/>
    <w:rsid w:val="00D52A57"/>
    <w:rsid w:val="00D57C84"/>
    <w:rsid w:val="00D57E0C"/>
    <w:rsid w:val="00D603B9"/>
    <w:rsid w:val="00D6057D"/>
    <w:rsid w:val="00D619E5"/>
    <w:rsid w:val="00D634E5"/>
    <w:rsid w:val="00D64C85"/>
    <w:rsid w:val="00D71987"/>
    <w:rsid w:val="00D740D9"/>
    <w:rsid w:val="00D75E03"/>
    <w:rsid w:val="00D76FB7"/>
    <w:rsid w:val="00D773DD"/>
    <w:rsid w:val="00D806A2"/>
    <w:rsid w:val="00D811E5"/>
    <w:rsid w:val="00D814A0"/>
    <w:rsid w:val="00D82B45"/>
    <w:rsid w:val="00D836C5"/>
    <w:rsid w:val="00D84576"/>
    <w:rsid w:val="00D856F1"/>
    <w:rsid w:val="00D863C4"/>
    <w:rsid w:val="00D86D3C"/>
    <w:rsid w:val="00D87D19"/>
    <w:rsid w:val="00D90860"/>
    <w:rsid w:val="00D90C6B"/>
    <w:rsid w:val="00D91585"/>
    <w:rsid w:val="00DA1399"/>
    <w:rsid w:val="00DA2155"/>
    <w:rsid w:val="00DA24C6"/>
    <w:rsid w:val="00DA34E3"/>
    <w:rsid w:val="00DA3B11"/>
    <w:rsid w:val="00DA3EED"/>
    <w:rsid w:val="00DA4ADD"/>
    <w:rsid w:val="00DA4D7B"/>
    <w:rsid w:val="00DA61FE"/>
    <w:rsid w:val="00DB2DA9"/>
    <w:rsid w:val="00DB3306"/>
    <w:rsid w:val="00DB360D"/>
    <w:rsid w:val="00DB40F2"/>
    <w:rsid w:val="00DB41A3"/>
    <w:rsid w:val="00DB5777"/>
    <w:rsid w:val="00DB5D47"/>
    <w:rsid w:val="00DB77C8"/>
    <w:rsid w:val="00DB7824"/>
    <w:rsid w:val="00DC0BFB"/>
    <w:rsid w:val="00DC237C"/>
    <w:rsid w:val="00DC3140"/>
    <w:rsid w:val="00DC3A3A"/>
    <w:rsid w:val="00DC3E80"/>
    <w:rsid w:val="00DC5670"/>
    <w:rsid w:val="00DC6938"/>
    <w:rsid w:val="00DD24A2"/>
    <w:rsid w:val="00DD2C94"/>
    <w:rsid w:val="00DD2D85"/>
    <w:rsid w:val="00DD3641"/>
    <w:rsid w:val="00DD3EB4"/>
    <w:rsid w:val="00DD721D"/>
    <w:rsid w:val="00DD73A3"/>
    <w:rsid w:val="00DE17A1"/>
    <w:rsid w:val="00DE191B"/>
    <w:rsid w:val="00DE264A"/>
    <w:rsid w:val="00DE3937"/>
    <w:rsid w:val="00DE49DA"/>
    <w:rsid w:val="00DE4F08"/>
    <w:rsid w:val="00DF0183"/>
    <w:rsid w:val="00DF2E6B"/>
    <w:rsid w:val="00DF35F3"/>
    <w:rsid w:val="00DF4C55"/>
    <w:rsid w:val="00DF4FAD"/>
    <w:rsid w:val="00DF5072"/>
    <w:rsid w:val="00DF54C2"/>
    <w:rsid w:val="00DF7019"/>
    <w:rsid w:val="00E00DA7"/>
    <w:rsid w:val="00E02409"/>
    <w:rsid w:val="00E02D18"/>
    <w:rsid w:val="00E02DFA"/>
    <w:rsid w:val="00E041E7"/>
    <w:rsid w:val="00E04390"/>
    <w:rsid w:val="00E0512F"/>
    <w:rsid w:val="00E0597B"/>
    <w:rsid w:val="00E10927"/>
    <w:rsid w:val="00E126D5"/>
    <w:rsid w:val="00E1338D"/>
    <w:rsid w:val="00E13E4C"/>
    <w:rsid w:val="00E162DC"/>
    <w:rsid w:val="00E20737"/>
    <w:rsid w:val="00E209B2"/>
    <w:rsid w:val="00E23CA1"/>
    <w:rsid w:val="00E24926"/>
    <w:rsid w:val="00E27978"/>
    <w:rsid w:val="00E33696"/>
    <w:rsid w:val="00E409A8"/>
    <w:rsid w:val="00E424BA"/>
    <w:rsid w:val="00E4366B"/>
    <w:rsid w:val="00E446C7"/>
    <w:rsid w:val="00E44914"/>
    <w:rsid w:val="00E456DE"/>
    <w:rsid w:val="00E50C12"/>
    <w:rsid w:val="00E52100"/>
    <w:rsid w:val="00E570DC"/>
    <w:rsid w:val="00E60AC8"/>
    <w:rsid w:val="00E62253"/>
    <w:rsid w:val="00E62272"/>
    <w:rsid w:val="00E6423C"/>
    <w:rsid w:val="00E655B9"/>
    <w:rsid w:val="00E65B91"/>
    <w:rsid w:val="00E66408"/>
    <w:rsid w:val="00E71E38"/>
    <w:rsid w:val="00E71ED0"/>
    <w:rsid w:val="00E7209D"/>
    <w:rsid w:val="00E72EAD"/>
    <w:rsid w:val="00E738BD"/>
    <w:rsid w:val="00E763BD"/>
    <w:rsid w:val="00E77223"/>
    <w:rsid w:val="00E80053"/>
    <w:rsid w:val="00E8231B"/>
    <w:rsid w:val="00E83B8C"/>
    <w:rsid w:val="00E8528B"/>
    <w:rsid w:val="00E853E4"/>
    <w:rsid w:val="00E85B94"/>
    <w:rsid w:val="00E87604"/>
    <w:rsid w:val="00E9024A"/>
    <w:rsid w:val="00E9031B"/>
    <w:rsid w:val="00E91E52"/>
    <w:rsid w:val="00E929D6"/>
    <w:rsid w:val="00E93977"/>
    <w:rsid w:val="00E940CC"/>
    <w:rsid w:val="00E978D0"/>
    <w:rsid w:val="00EA0F18"/>
    <w:rsid w:val="00EA178D"/>
    <w:rsid w:val="00EA4613"/>
    <w:rsid w:val="00EA7F91"/>
    <w:rsid w:val="00EB1523"/>
    <w:rsid w:val="00EB348A"/>
    <w:rsid w:val="00EB4635"/>
    <w:rsid w:val="00EB48F2"/>
    <w:rsid w:val="00EC0E49"/>
    <w:rsid w:val="00EC101F"/>
    <w:rsid w:val="00EC10C0"/>
    <w:rsid w:val="00EC1D8C"/>
    <w:rsid w:val="00EC1D9F"/>
    <w:rsid w:val="00EC24C2"/>
    <w:rsid w:val="00EC30A7"/>
    <w:rsid w:val="00EC5455"/>
    <w:rsid w:val="00EC5853"/>
    <w:rsid w:val="00EC6A9F"/>
    <w:rsid w:val="00ED1082"/>
    <w:rsid w:val="00ED2A8D"/>
    <w:rsid w:val="00ED39EC"/>
    <w:rsid w:val="00ED438E"/>
    <w:rsid w:val="00ED597F"/>
    <w:rsid w:val="00ED6E23"/>
    <w:rsid w:val="00ED70FC"/>
    <w:rsid w:val="00EE0131"/>
    <w:rsid w:val="00EE04A4"/>
    <w:rsid w:val="00EE17B0"/>
    <w:rsid w:val="00EE1E12"/>
    <w:rsid w:val="00EF0343"/>
    <w:rsid w:val="00EF06D9"/>
    <w:rsid w:val="00EF07D7"/>
    <w:rsid w:val="00EF0DA1"/>
    <w:rsid w:val="00EF1E5C"/>
    <w:rsid w:val="00EF2136"/>
    <w:rsid w:val="00EF21F1"/>
    <w:rsid w:val="00EF3EFD"/>
    <w:rsid w:val="00EF4DE0"/>
    <w:rsid w:val="00EF573A"/>
    <w:rsid w:val="00EF60A3"/>
    <w:rsid w:val="00EF7A57"/>
    <w:rsid w:val="00F03653"/>
    <w:rsid w:val="00F04606"/>
    <w:rsid w:val="00F0573A"/>
    <w:rsid w:val="00F06EC8"/>
    <w:rsid w:val="00F11E9B"/>
    <w:rsid w:val="00F14666"/>
    <w:rsid w:val="00F2110A"/>
    <w:rsid w:val="00F22868"/>
    <w:rsid w:val="00F22EAB"/>
    <w:rsid w:val="00F261D8"/>
    <w:rsid w:val="00F30686"/>
    <w:rsid w:val="00F30C64"/>
    <w:rsid w:val="00F32BA2"/>
    <w:rsid w:val="00F32CDB"/>
    <w:rsid w:val="00F368DE"/>
    <w:rsid w:val="00F4106C"/>
    <w:rsid w:val="00F41928"/>
    <w:rsid w:val="00F43B0E"/>
    <w:rsid w:val="00F444A3"/>
    <w:rsid w:val="00F44525"/>
    <w:rsid w:val="00F44A97"/>
    <w:rsid w:val="00F44B4E"/>
    <w:rsid w:val="00F46B4F"/>
    <w:rsid w:val="00F4708D"/>
    <w:rsid w:val="00F56308"/>
    <w:rsid w:val="00F565FE"/>
    <w:rsid w:val="00F609D6"/>
    <w:rsid w:val="00F63A70"/>
    <w:rsid w:val="00F64DBC"/>
    <w:rsid w:val="00F66B50"/>
    <w:rsid w:val="00F7023D"/>
    <w:rsid w:val="00F70B02"/>
    <w:rsid w:val="00F71047"/>
    <w:rsid w:val="00F71ACD"/>
    <w:rsid w:val="00F7534E"/>
    <w:rsid w:val="00F75645"/>
    <w:rsid w:val="00F76350"/>
    <w:rsid w:val="00F76555"/>
    <w:rsid w:val="00F76C92"/>
    <w:rsid w:val="00F777E5"/>
    <w:rsid w:val="00F82F37"/>
    <w:rsid w:val="00F84939"/>
    <w:rsid w:val="00F86FF8"/>
    <w:rsid w:val="00F87CC7"/>
    <w:rsid w:val="00F90356"/>
    <w:rsid w:val="00F93813"/>
    <w:rsid w:val="00F938CB"/>
    <w:rsid w:val="00F93DC7"/>
    <w:rsid w:val="00FA21D0"/>
    <w:rsid w:val="00FA24FE"/>
    <w:rsid w:val="00FA351D"/>
    <w:rsid w:val="00FA3FE7"/>
    <w:rsid w:val="00FA48EF"/>
    <w:rsid w:val="00FA4B6C"/>
    <w:rsid w:val="00FA4BE6"/>
    <w:rsid w:val="00FA5F5F"/>
    <w:rsid w:val="00FB166A"/>
    <w:rsid w:val="00FB3B6C"/>
    <w:rsid w:val="00FB3D07"/>
    <w:rsid w:val="00FB4834"/>
    <w:rsid w:val="00FB72D3"/>
    <w:rsid w:val="00FB730C"/>
    <w:rsid w:val="00FB78D1"/>
    <w:rsid w:val="00FC0234"/>
    <w:rsid w:val="00FC2396"/>
    <w:rsid w:val="00FC2695"/>
    <w:rsid w:val="00FC3E03"/>
    <w:rsid w:val="00FC3FC1"/>
    <w:rsid w:val="00FC46AC"/>
    <w:rsid w:val="00FC7207"/>
    <w:rsid w:val="00FC7228"/>
    <w:rsid w:val="00FC7EDE"/>
    <w:rsid w:val="00FD3ABC"/>
    <w:rsid w:val="00FD3F0E"/>
    <w:rsid w:val="00FD6283"/>
    <w:rsid w:val="00FE0395"/>
    <w:rsid w:val="00FE0409"/>
    <w:rsid w:val="00FE2843"/>
    <w:rsid w:val="00FE28D6"/>
    <w:rsid w:val="00FE2C6A"/>
    <w:rsid w:val="00FE3BB4"/>
    <w:rsid w:val="00FE3F55"/>
    <w:rsid w:val="00FE419F"/>
    <w:rsid w:val="00FE5323"/>
    <w:rsid w:val="00FE666C"/>
    <w:rsid w:val="00FE68B5"/>
    <w:rsid w:val="00FF482A"/>
    <w:rsid w:val="00FF5CB1"/>
    <w:rsid w:val="00FF77E8"/>
    <w:rsid w:val="00FF7A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93DCE"/>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93DCE"/>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bCs w:val="0"/>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DF7019"/>
    <w:rPr>
      <w:color w:val="605E5C"/>
      <w:shd w:val="clear" w:color="auto" w:fill="E1DFDD"/>
    </w:rPr>
  </w:style>
  <w:style w:type="character" w:customStyle="1" w:styleId="fontstyle01">
    <w:name w:val="fontstyle01"/>
    <w:basedOn w:val="Carpredefinitoparagrafo"/>
    <w:rsid w:val="00B762A0"/>
    <w:rPr>
      <w:rFonts w:ascii="TimesNewRomanPSMT" w:hAnsi="TimesNewRomanPSMT" w:hint="default"/>
      <w:b w:val="0"/>
      <w:bCs w:val="0"/>
      <w:i w:val="0"/>
      <w:iCs w:val="0"/>
      <w:color w:val="000000"/>
      <w:sz w:val="20"/>
      <w:szCs w:val="20"/>
    </w:rPr>
  </w:style>
  <w:style w:type="character" w:styleId="Rimandonotaapidipagina">
    <w:name w:val="footnote reference"/>
    <w:basedOn w:val="Carpredefinitoparagrafo"/>
    <w:uiPriority w:val="99"/>
    <w:semiHidden/>
    <w:unhideWhenUsed/>
    <w:rsid w:val="008856EC"/>
    <w:rPr>
      <w:vertAlign w:val="superscript"/>
    </w:rPr>
  </w:style>
  <w:style w:type="paragraph" w:styleId="Revisione">
    <w:name w:val="Revision"/>
    <w:hidden/>
    <w:uiPriority w:val="99"/>
    <w:semiHidden/>
    <w:rsid w:val="00BD21C9"/>
    <w:pPr>
      <w:spacing w:after="0" w:line="240" w:lineRule="auto"/>
    </w:pPr>
    <w:rPr>
      <w:rFonts w:ascii="Arial" w:eastAsia="Times New Roman" w:hAnsi="Arial" w:cs="Times New Roman"/>
      <w:sz w:val="18"/>
      <w:szCs w:val="20"/>
      <w:lang w:val="en-GB"/>
    </w:rPr>
  </w:style>
  <w:style w:type="paragraph" w:styleId="Nessunaspaziatura">
    <w:name w:val="No Spacing"/>
    <w:aliases w:val="1st par"/>
    <w:uiPriority w:val="1"/>
    <w:qFormat/>
    <w:rsid w:val="00EE1E12"/>
    <w:pPr>
      <w:tabs>
        <w:tab w:val="right" w:pos="7100"/>
      </w:tabs>
      <w:spacing w:after="0" w:line="240" w:lineRule="auto"/>
      <w:jc w:val="both"/>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1C2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142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619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7121">
      <w:bodyDiv w:val="1"/>
      <w:marLeft w:val="0"/>
      <w:marRight w:val="0"/>
      <w:marTop w:val="0"/>
      <w:marBottom w:val="0"/>
      <w:divBdr>
        <w:top w:val="none" w:sz="0" w:space="0" w:color="auto"/>
        <w:left w:val="none" w:sz="0" w:space="0" w:color="auto"/>
        <w:bottom w:val="none" w:sz="0" w:space="0" w:color="auto"/>
        <w:right w:val="none" w:sz="0" w:space="0" w:color="auto"/>
      </w:divBdr>
    </w:div>
    <w:div w:id="188278495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3946</Words>
  <Characters>22493</Characters>
  <Application>Microsoft Office Word</Application>
  <DocSecurity>0</DocSecurity>
  <Lines>187</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 Javier  Castro Rodriguez</cp:lastModifiedBy>
  <cp:revision>6</cp:revision>
  <cp:lastPrinted>2024-05-12T08:18:00Z</cp:lastPrinted>
  <dcterms:created xsi:type="dcterms:W3CDTF">2024-05-11T15:43:00Z</dcterms:created>
  <dcterms:modified xsi:type="dcterms:W3CDTF">2024-05-12T08:18:00Z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id="QoE1dSJU"/&gt;&lt;style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